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B93" w:rsidRDefault="005F2B93" w:rsidP="005F2B93">
      <w:pPr>
        <w:pStyle w:val="Default"/>
      </w:pPr>
      <w:bookmarkStart w:id="0" w:name="_GoBack"/>
      <w:bookmarkEnd w:id="0"/>
    </w:p>
    <w:p w:rsidR="003C0784" w:rsidRPr="000F4AE5" w:rsidRDefault="005F2B93" w:rsidP="005F2B93">
      <w:pPr>
        <w:pStyle w:val="Default"/>
        <w:rPr>
          <w:color w:val="auto"/>
        </w:rPr>
      </w:pPr>
      <w:r w:rsidRPr="000F4AE5">
        <w:rPr>
          <w:color w:val="auto"/>
        </w:rPr>
        <w:t xml:space="preserve">Clifford Chance LLP has very kindly hosted a very interesting discussion on the interplay between merger control and Article 102. </w:t>
      </w:r>
      <w:r w:rsidR="006B2F12" w:rsidRPr="000F4AE5">
        <w:rPr>
          <w:color w:val="auto"/>
        </w:rPr>
        <w:t xml:space="preserve">This is a high level summary of the discussion. </w:t>
      </w:r>
    </w:p>
    <w:p w:rsidR="003C0784" w:rsidRPr="000F4AE5" w:rsidRDefault="003C0784" w:rsidP="005F2B93">
      <w:pPr>
        <w:pStyle w:val="Default"/>
        <w:rPr>
          <w:color w:val="auto"/>
        </w:rPr>
      </w:pPr>
    </w:p>
    <w:p w:rsidR="003C0784" w:rsidRPr="000F4AE5" w:rsidRDefault="003C0784" w:rsidP="005F2B93">
      <w:pPr>
        <w:pStyle w:val="Default"/>
        <w:rPr>
          <w:b/>
          <w:color w:val="auto"/>
        </w:rPr>
      </w:pPr>
      <w:r w:rsidRPr="000F4AE5">
        <w:rPr>
          <w:b/>
          <w:color w:val="auto"/>
        </w:rPr>
        <w:t>Alastair Mordaunt</w:t>
      </w:r>
    </w:p>
    <w:p w:rsidR="003C0784" w:rsidRPr="000F4AE5" w:rsidRDefault="003C0784" w:rsidP="005F2B93">
      <w:pPr>
        <w:pStyle w:val="Default"/>
        <w:rPr>
          <w:color w:val="auto"/>
        </w:rPr>
      </w:pPr>
    </w:p>
    <w:p w:rsidR="00E1198A" w:rsidRPr="000F4AE5" w:rsidRDefault="00E1198A" w:rsidP="00E1198A">
      <w:pPr>
        <w:rPr>
          <w:rFonts w:ascii="Arial" w:hAnsi="Arial" w:cs="Arial"/>
        </w:rPr>
      </w:pPr>
      <w:r w:rsidRPr="000F4AE5">
        <w:rPr>
          <w:rFonts w:ascii="Arial" w:hAnsi="Arial" w:cs="Arial"/>
        </w:rPr>
        <w:t xml:space="preserve">The discussion was opened by Alastair Mordaunt, partner at Clifford Chance LLP and previously Director of Mergers and Director of a dedicated competition enforcement team at the Office of Fair Trading. Alastair set the ground for the discussion giving a very useful summary of the key differences in the assessment of mergers and of abuses of dominance, such as the purpose of the regime, the statutory test, the extent to which efficiencies are taken into account, and other practical issues such as the time for review, the standard of proof, incentives to cooperate and likelihood of succeeding on appeal. </w:t>
      </w:r>
    </w:p>
    <w:p w:rsidR="00E1198A" w:rsidRPr="000F4AE5" w:rsidRDefault="00E1198A" w:rsidP="00E1198A">
      <w:pPr>
        <w:rPr>
          <w:rFonts w:ascii="Arial" w:hAnsi="Arial" w:cs="Arial"/>
        </w:rPr>
      </w:pPr>
      <w:r w:rsidRPr="000F4AE5">
        <w:rPr>
          <w:rFonts w:ascii="Arial" w:hAnsi="Arial" w:cs="Arial"/>
        </w:rPr>
        <w:t xml:space="preserve">Alastair raised a number of interesting comments: </w:t>
      </w:r>
    </w:p>
    <w:p w:rsidR="00E1198A" w:rsidRPr="000F4AE5" w:rsidRDefault="00E1198A" w:rsidP="00E1198A">
      <w:pPr>
        <w:numPr>
          <w:ilvl w:val="0"/>
          <w:numId w:val="46"/>
        </w:numPr>
        <w:spacing w:before="100" w:beforeAutospacing="1" w:after="100" w:afterAutospacing="1" w:line="240" w:lineRule="auto"/>
        <w:rPr>
          <w:rFonts w:ascii="Arial" w:hAnsi="Arial" w:cs="Arial"/>
        </w:rPr>
      </w:pPr>
      <w:r w:rsidRPr="000F4AE5">
        <w:rPr>
          <w:rFonts w:ascii="Arial" w:hAnsi="Arial" w:cs="Arial"/>
        </w:rPr>
        <w:t>Market definition tends to be downplayed in Merger control decisions, whereas it is typically a critical part of the assessment in Article 102 – even despite the fact that Article 102 has moved towards a more effects-based assessment</w:t>
      </w:r>
    </w:p>
    <w:p w:rsidR="00E1198A" w:rsidRPr="000F4AE5" w:rsidRDefault="00E1198A" w:rsidP="00E1198A">
      <w:pPr>
        <w:numPr>
          <w:ilvl w:val="0"/>
          <w:numId w:val="46"/>
        </w:numPr>
        <w:spacing w:before="100" w:beforeAutospacing="1" w:after="100" w:afterAutospacing="1" w:line="240" w:lineRule="auto"/>
        <w:rPr>
          <w:rFonts w:ascii="Arial" w:hAnsi="Arial" w:cs="Arial"/>
        </w:rPr>
      </w:pPr>
      <w:r w:rsidRPr="000F4AE5">
        <w:rPr>
          <w:rFonts w:ascii="Arial" w:hAnsi="Arial" w:cs="Arial"/>
        </w:rPr>
        <w:t xml:space="preserve">Assessment of dominance is not required in merger control although it is sometimes included in the assessment.  Although it is a required part of Article 102, dominance is often assessed using form-based criteria (for instance in the OFT's recent vet diagnostics decision) </w:t>
      </w:r>
    </w:p>
    <w:p w:rsidR="00E1198A" w:rsidRPr="000F4AE5" w:rsidRDefault="00E1198A" w:rsidP="00E1198A">
      <w:pPr>
        <w:numPr>
          <w:ilvl w:val="0"/>
          <w:numId w:val="46"/>
        </w:numPr>
        <w:spacing w:before="100" w:beforeAutospacing="1" w:after="100" w:afterAutospacing="1" w:line="240" w:lineRule="auto"/>
        <w:rPr>
          <w:rFonts w:ascii="Arial" w:hAnsi="Arial" w:cs="Arial"/>
        </w:rPr>
      </w:pPr>
      <w:r w:rsidRPr="000F4AE5">
        <w:rPr>
          <w:rFonts w:ascii="Arial" w:hAnsi="Arial" w:cs="Arial"/>
        </w:rPr>
        <w:t>Efficiencies can play a role in merger control although they are not often accepted. In Article 102, efficiencies can be a key part of the objective justification assessment  </w:t>
      </w:r>
    </w:p>
    <w:p w:rsidR="00E1198A" w:rsidRPr="000F4AE5" w:rsidRDefault="00E1198A" w:rsidP="00E1198A">
      <w:pPr>
        <w:rPr>
          <w:rFonts w:ascii="Arial" w:hAnsi="Arial" w:cs="Arial"/>
        </w:rPr>
      </w:pPr>
      <w:r w:rsidRPr="000F4AE5">
        <w:rPr>
          <w:rFonts w:ascii="Arial" w:hAnsi="Arial" w:cs="Arial"/>
        </w:rPr>
        <w:t xml:space="preserve"> Alastair produced a table summarizing the distinctions available via the ‘past events’ section of the CLA website. </w:t>
      </w:r>
    </w:p>
    <w:p w:rsidR="00E1198A" w:rsidRPr="000F4AE5" w:rsidRDefault="00E1198A" w:rsidP="00E1198A">
      <w:pPr>
        <w:rPr>
          <w:rFonts w:ascii="Arial" w:hAnsi="Arial" w:cs="Arial"/>
        </w:rPr>
      </w:pPr>
      <w:r w:rsidRPr="000F4AE5">
        <w:rPr>
          <w:rFonts w:ascii="Arial" w:hAnsi="Arial" w:cs="Arial"/>
        </w:rPr>
        <w:t> </w:t>
      </w:r>
    </w:p>
    <w:p w:rsidR="003C0784" w:rsidRPr="000F4AE5" w:rsidRDefault="003C0784" w:rsidP="005F2B93">
      <w:pPr>
        <w:pStyle w:val="Default"/>
        <w:rPr>
          <w:b/>
          <w:color w:val="auto"/>
        </w:rPr>
      </w:pPr>
      <w:r w:rsidRPr="000F4AE5">
        <w:rPr>
          <w:b/>
          <w:color w:val="auto"/>
        </w:rPr>
        <w:t>Dr Cristina Caffar</w:t>
      </w:r>
      <w:r w:rsidR="00C57C07" w:rsidRPr="000F4AE5">
        <w:rPr>
          <w:b/>
          <w:color w:val="auto"/>
        </w:rPr>
        <w:t>r</w:t>
      </w:r>
      <w:r w:rsidRPr="000F4AE5">
        <w:rPr>
          <w:b/>
          <w:color w:val="auto"/>
        </w:rPr>
        <w:t xml:space="preserve">a </w:t>
      </w:r>
    </w:p>
    <w:p w:rsidR="003C0784" w:rsidRPr="000F4AE5" w:rsidRDefault="003C0784" w:rsidP="005F2B93">
      <w:pPr>
        <w:pStyle w:val="Default"/>
        <w:rPr>
          <w:color w:val="auto"/>
        </w:rPr>
      </w:pPr>
      <w:r w:rsidRPr="000F4AE5">
        <w:rPr>
          <w:color w:val="auto"/>
        </w:rPr>
        <w:br/>
        <w:t>Dr Cristina Caffa</w:t>
      </w:r>
      <w:r w:rsidR="00C57C07" w:rsidRPr="000F4AE5">
        <w:rPr>
          <w:color w:val="auto"/>
        </w:rPr>
        <w:t>r</w:t>
      </w:r>
      <w:r w:rsidRPr="000F4AE5">
        <w:rPr>
          <w:color w:val="auto"/>
        </w:rPr>
        <w:t xml:space="preserve">ra is Vice President at Charles River Associates and head of CRA’s European Competition practice. </w:t>
      </w:r>
    </w:p>
    <w:p w:rsidR="003C0784" w:rsidRPr="000F4AE5" w:rsidRDefault="003C0784" w:rsidP="005F2B93">
      <w:pPr>
        <w:pStyle w:val="Default"/>
        <w:rPr>
          <w:color w:val="auto"/>
        </w:rPr>
      </w:pPr>
    </w:p>
    <w:p w:rsidR="00E055E0" w:rsidRPr="000F4AE5" w:rsidRDefault="003C0784" w:rsidP="005F2B93">
      <w:pPr>
        <w:pStyle w:val="Default"/>
        <w:rPr>
          <w:color w:val="auto"/>
        </w:rPr>
      </w:pPr>
      <w:r w:rsidRPr="000F4AE5">
        <w:rPr>
          <w:color w:val="auto"/>
        </w:rPr>
        <w:t>Dr Caffa</w:t>
      </w:r>
      <w:r w:rsidR="00C57C07" w:rsidRPr="000F4AE5">
        <w:rPr>
          <w:color w:val="auto"/>
        </w:rPr>
        <w:t>r</w:t>
      </w:r>
      <w:r w:rsidRPr="000F4AE5">
        <w:rPr>
          <w:color w:val="auto"/>
        </w:rPr>
        <w:t xml:space="preserve">ra focused her talk on recent case law. Issues are more acute with vertical/conglomerate mergers, where theory of harm resolves around foreclosure / hold up arising from tying/bundling or refusal to supply. </w:t>
      </w:r>
    </w:p>
    <w:p w:rsidR="00E055E0" w:rsidRPr="000F4AE5" w:rsidRDefault="00E055E0" w:rsidP="005F2B93">
      <w:pPr>
        <w:pStyle w:val="Default"/>
        <w:rPr>
          <w:color w:val="auto"/>
        </w:rPr>
      </w:pPr>
    </w:p>
    <w:p w:rsidR="00C57C07" w:rsidRPr="000F4AE5" w:rsidRDefault="00C57C07" w:rsidP="005F2B93">
      <w:pPr>
        <w:pStyle w:val="Default"/>
        <w:rPr>
          <w:color w:val="auto"/>
        </w:rPr>
      </w:pPr>
      <w:r w:rsidRPr="000F4AE5">
        <w:rPr>
          <w:color w:val="auto"/>
        </w:rPr>
        <w:t xml:space="preserve">High technology markets are particularly prone to this type of theory of harm. Key features of high technology markets (for instance the reliance on multiple </w:t>
      </w:r>
      <w:r w:rsidRPr="000F4AE5">
        <w:rPr>
          <w:color w:val="auto"/>
        </w:rPr>
        <w:lastRenderedPageBreak/>
        <w:t xml:space="preserve">components/systems/complementarities, high barriers to entry, </w:t>
      </w:r>
      <w:r w:rsidR="00270430" w:rsidRPr="000F4AE5">
        <w:rPr>
          <w:color w:val="auto"/>
        </w:rPr>
        <w:t xml:space="preserve">high sunk costs, </w:t>
      </w:r>
      <w:proofErr w:type="gramStart"/>
      <w:r w:rsidR="00270430" w:rsidRPr="000F4AE5">
        <w:rPr>
          <w:color w:val="auto"/>
        </w:rPr>
        <w:t>potential</w:t>
      </w:r>
      <w:proofErr w:type="gramEnd"/>
      <w:r w:rsidR="00270430" w:rsidRPr="000F4AE5">
        <w:rPr>
          <w:color w:val="auto"/>
        </w:rPr>
        <w:t xml:space="preserve"> for tipping, potential to entrench dominance and </w:t>
      </w:r>
      <w:r w:rsidRPr="000F4AE5">
        <w:rPr>
          <w:color w:val="auto"/>
        </w:rPr>
        <w:t>IP rights) make foreclosure a particularl</w:t>
      </w:r>
      <w:r w:rsidR="00E055E0" w:rsidRPr="000F4AE5">
        <w:rPr>
          <w:color w:val="auto"/>
        </w:rPr>
        <w:t xml:space="preserve">y acute concern in this sector. Anti-competitive tactics can have large effects quite fast. This makes the high tech sector a good candidate for early intervention. </w:t>
      </w:r>
    </w:p>
    <w:p w:rsidR="00C57C07" w:rsidRPr="000F4AE5" w:rsidRDefault="00C57C07" w:rsidP="005F2B93">
      <w:pPr>
        <w:pStyle w:val="Default"/>
        <w:rPr>
          <w:color w:val="auto"/>
        </w:rPr>
      </w:pPr>
    </w:p>
    <w:p w:rsidR="00C57C07" w:rsidRPr="000F4AE5" w:rsidRDefault="00C57C07" w:rsidP="005F2B93">
      <w:pPr>
        <w:pStyle w:val="Default"/>
        <w:rPr>
          <w:color w:val="auto"/>
        </w:rPr>
      </w:pPr>
      <w:r w:rsidRPr="000F4AE5">
        <w:rPr>
          <w:color w:val="auto"/>
        </w:rPr>
        <w:t>Dr Caffarra reviewed three recent mergers</w:t>
      </w:r>
      <w:r w:rsidR="00E055E0" w:rsidRPr="000F4AE5">
        <w:rPr>
          <w:color w:val="auto"/>
        </w:rPr>
        <w:t xml:space="preserve"> in the high tech sector</w:t>
      </w:r>
      <w:r w:rsidRPr="000F4AE5">
        <w:rPr>
          <w:color w:val="auto"/>
        </w:rPr>
        <w:t xml:space="preserve">: </w:t>
      </w:r>
    </w:p>
    <w:p w:rsidR="00C57C07" w:rsidRPr="000F4AE5" w:rsidRDefault="00C57C07" w:rsidP="005F2B93">
      <w:pPr>
        <w:pStyle w:val="Default"/>
        <w:rPr>
          <w:color w:val="auto"/>
        </w:rPr>
      </w:pPr>
    </w:p>
    <w:p w:rsidR="00C57C07" w:rsidRPr="000F4AE5" w:rsidRDefault="00C57C07" w:rsidP="00C57C07">
      <w:pPr>
        <w:pStyle w:val="Default"/>
        <w:numPr>
          <w:ilvl w:val="0"/>
          <w:numId w:val="40"/>
        </w:numPr>
        <w:rPr>
          <w:color w:val="auto"/>
        </w:rPr>
      </w:pPr>
      <w:r w:rsidRPr="000F4AE5">
        <w:rPr>
          <w:color w:val="auto"/>
        </w:rPr>
        <w:t xml:space="preserve">Intel/McAfee – cleared in Phase I with </w:t>
      </w:r>
      <w:r w:rsidR="00270430" w:rsidRPr="000F4AE5">
        <w:rPr>
          <w:color w:val="auto"/>
        </w:rPr>
        <w:t xml:space="preserve">a </w:t>
      </w:r>
      <w:r w:rsidRPr="000F4AE5">
        <w:rPr>
          <w:color w:val="auto"/>
        </w:rPr>
        <w:t xml:space="preserve">behavioural </w:t>
      </w:r>
      <w:r w:rsidR="00270430" w:rsidRPr="000F4AE5">
        <w:rPr>
          <w:color w:val="auto"/>
        </w:rPr>
        <w:t xml:space="preserve">interoperability </w:t>
      </w:r>
      <w:r w:rsidRPr="000F4AE5">
        <w:rPr>
          <w:color w:val="auto"/>
        </w:rPr>
        <w:t xml:space="preserve">remedy </w:t>
      </w:r>
      <w:r w:rsidR="00270430" w:rsidRPr="000F4AE5">
        <w:rPr>
          <w:color w:val="auto"/>
        </w:rPr>
        <w:t>(similar to remedies adopted in Article 102 cases)</w:t>
      </w:r>
    </w:p>
    <w:p w:rsidR="00C57C07" w:rsidRPr="000F4AE5" w:rsidRDefault="00C57C07" w:rsidP="00C57C07">
      <w:pPr>
        <w:pStyle w:val="Default"/>
        <w:numPr>
          <w:ilvl w:val="0"/>
          <w:numId w:val="40"/>
        </w:numPr>
        <w:rPr>
          <w:color w:val="auto"/>
        </w:rPr>
      </w:pPr>
      <w:r w:rsidRPr="000F4AE5">
        <w:rPr>
          <w:color w:val="auto"/>
        </w:rPr>
        <w:t>Microsoft/Skype – cleared in Phase I with no remedy</w:t>
      </w:r>
    </w:p>
    <w:p w:rsidR="003C0784" w:rsidRPr="000F4AE5" w:rsidRDefault="00C57C07" w:rsidP="005F2B93">
      <w:pPr>
        <w:pStyle w:val="Default"/>
        <w:numPr>
          <w:ilvl w:val="0"/>
          <w:numId w:val="40"/>
        </w:numPr>
        <w:rPr>
          <w:color w:val="auto"/>
        </w:rPr>
      </w:pPr>
      <w:r w:rsidRPr="000F4AE5">
        <w:rPr>
          <w:color w:val="auto"/>
        </w:rPr>
        <w:t xml:space="preserve">Google/Motorola – cleared in phase I with no remedy but Art 102 investigation opened back to back </w:t>
      </w:r>
    </w:p>
    <w:p w:rsidR="00E055E0" w:rsidRPr="000F4AE5" w:rsidRDefault="00E055E0" w:rsidP="005F2B93">
      <w:pPr>
        <w:pStyle w:val="Default"/>
        <w:rPr>
          <w:color w:val="auto"/>
        </w:rPr>
      </w:pPr>
    </w:p>
    <w:p w:rsidR="00E055E0" w:rsidRPr="000F4AE5" w:rsidRDefault="00E055E0" w:rsidP="005F2B93">
      <w:pPr>
        <w:pStyle w:val="Default"/>
        <w:rPr>
          <w:color w:val="auto"/>
        </w:rPr>
      </w:pPr>
      <w:r w:rsidRPr="000F4AE5">
        <w:rPr>
          <w:color w:val="auto"/>
        </w:rPr>
        <w:t xml:space="preserve">In Intel/McAfee, the stated motivation of the merger was to improve security of Intel chips by integrating security software of McAfee in Intel’s chips. </w:t>
      </w:r>
      <w:r w:rsidR="00656D9F" w:rsidRPr="000F4AE5">
        <w:rPr>
          <w:color w:val="auto"/>
        </w:rPr>
        <w:t xml:space="preserve">Symantec </w:t>
      </w:r>
      <w:r w:rsidRPr="000F4AE5">
        <w:rPr>
          <w:color w:val="auto"/>
        </w:rPr>
        <w:t xml:space="preserve">expressed concerns that post </w:t>
      </w:r>
      <w:proofErr w:type="gramStart"/>
      <w:r w:rsidRPr="000F4AE5">
        <w:rPr>
          <w:color w:val="auto"/>
        </w:rPr>
        <w:t>merger,</w:t>
      </w:r>
      <w:proofErr w:type="gramEnd"/>
      <w:r w:rsidRPr="000F4AE5">
        <w:rPr>
          <w:color w:val="auto"/>
        </w:rPr>
        <w:t xml:space="preserve"> Intel might downgrade interoperability with their products in order to favour its new subsidiary McAfee.</w:t>
      </w:r>
      <w:r w:rsidR="007F060F" w:rsidRPr="000F4AE5">
        <w:rPr>
          <w:color w:val="auto"/>
        </w:rPr>
        <w:t xml:space="preserve"> A </w:t>
      </w:r>
      <w:r w:rsidR="00270430" w:rsidRPr="000F4AE5">
        <w:rPr>
          <w:color w:val="auto"/>
        </w:rPr>
        <w:t xml:space="preserve">wide-ranging behavioural </w:t>
      </w:r>
      <w:r w:rsidR="007F060F" w:rsidRPr="000F4AE5">
        <w:rPr>
          <w:color w:val="auto"/>
        </w:rPr>
        <w:t>commi</w:t>
      </w:r>
      <w:r w:rsidR="009F07A7" w:rsidRPr="000F4AE5">
        <w:rPr>
          <w:color w:val="auto"/>
        </w:rPr>
        <w:t>tment was offered by Intel acco</w:t>
      </w:r>
      <w:r w:rsidR="007F060F" w:rsidRPr="000F4AE5">
        <w:rPr>
          <w:color w:val="auto"/>
        </w:rPr>
        <w:t>rding to which</w:t>
      </w:r>
      <w:r w:rsidRPr="000F4AE5">
        <w:rPr>
          <w:color w:val="auto"/>
        </w:rPr>
        <w:t xml:space="preserve"> </w:t>
      </w:r>
      <w:r w:rsidR="007F060F" w:rsidRPr="000F4AE5">
        <w:rPr>
          <w:color w:val="auto"/>
        </w:rPr>
        <w:t xml:space="preserve">McAfee competitors </w:t>
      </w:r>
      <w:r w:rsidR="00270430" w:rsidRPr="000F4AE5">
        <w:rPr>
          <w:color w:val="auto"/>
        </w:rPr>
        <w:t xml:space="preserve">would </w:t>
      </w:r>
      <w:r w:rsidR="007F060F" w:rsidRPr="000F4AE5">
        <w:rPr>
          <w:color w:val="auto"/>
        </w:rPr>
        <w:t>have access to all necessary information to use functionalities of Intel's chipsets in the same way as those functionalities used by McAfee.</w:t>
      </w:r>
    </w:p>
    <w:p w:rsidR="00E055E0" w:rsidRPr="000F4AE5" w:rsidRDefault="00E055E0" w:rsidP="005F2B93">
      <w:pPr>
        <w:pStyle w:val="Default"/>
        <w:rPr>
          <w:color w:val="auto"/>
        </w:rPr>
      </w:pPr>
    </w:p>
    <w:p w:rsidR="005F2B93" w:rsidRPr="000F4AE5" w:rsidRDefault="00E055E0" w:rsidP="005F2B93">
      <w:pPr>
        <w:pStyle w:val="Default"/>
        <w:rPr>
          <w:color w:val="auto"/>
        </w:rPr>
      </w:pPr>
      <w:r w:rsidRPr="000F4AE5">
        <w:rPr>
          <w:color w:val="auto"/>
        </w:rPr>
        <w:t xml:space="preserve">Intel/McAfee is a particularly good example where ex ante intervention </w:t>
      </w:r>
      <w:r w:rsidR="007F060F" w:rsidRPr="000F4AE5">
        <w:rPr>
          <w:color w:val="auto"/>
        </w:rPr>
        <w:t xml:space="preserve">appeared </w:t>
      </w:r>
      <w:r w:rsidRPr="000F4AE5">
        <w:rPr>
          <w:color w:val="auto"/>
        </w:rPr>
        <w:t>to make sense as the merger would have created a technical tie</w:t>
      </w:r>
      <w:r w:rsidR="007F060F" w:rsidRPr="000F4AE5">
        <w:rPr>
          <w:color w:val="auto"/>
        </w:rPr>
        <w:t xml:space="preserve"> (as opposed to a contractual tie as for instance in GE/Honeywell)</w:t>
      </w:r>
      <w:r w:rsidRPr="000F4AE5">
        <w:rPr>
          <w:color w:val="auto"/>
        </w:rPr>
        <w:t xml:space="preserve">, which would have been very difficult to unscramble. </w:t>
      </w:r>
      <w:r w:rsidR="007F060F" w:rsidRPr="000F4AE5">
        <w:rPr>
          <w:color w:val="auto"/>
        </w:rPr>
        <w:t xml:space="preserve">However Dr Caffarra made a few points: </w:t>
      </w:r>
    </w:p>
    <w:p w:rsidR="007F060F" w:rsidRPr="000F4AE5" w:rsidRDefault="007F060F" w:rsidP="005F2B93">
      <w:pPr>
        <w:pStyle w:val="Default"/>
        <w:rPr>
          <w:color w:val="auto"/>
        </w:rPr>
      </w:pPr>
    </w:p>
    <w:p w:rsidR="007F060F" w:rsidRPr="000F4AE5" w:rsidRDefault="007F060F" w:rsidP="007F060F">
      <w:pPr>
        <w:pStyle w:val="Default"/>
        <w:numPr>
          <w:ilvl w:val="0"/>
          <w:numId w:val="41"/>
        </w:numPr>
        <w:rPr>
          <w:color w:val="auto"/>
        </w:rPr>
      </w:pPr>
      <w:r w:rsidRPr="000F4AE5">
        <w:rPr>
          <w:color w:val="auto"/>
        </w:rPr>
        <w:t>The interoperability commitment offered by Intel goes beyond the commitment offered by Microsoft in the server case, by covering merger-specific innovations</w:t>
      </w:r>
      <w:r w:rsidR="009B3404" w:rsidRPr="000F4AE5">
        <w:rPr>
          <w:color w:val="auto"/>
        </w:rPr>
        <w:t xml:space="preserve"> developed by the merged entity</w:t>
      </w:r>
      <w:r w:rsidRPr="000F4AE5">
        <w:rPr>
          <w:color w:val="auto"/>
        </w:rPr>
        <w:t xml:space="preserve"> </w:t>
      </w:r>
    </w:p>
    <w:p w:rsidR="007F060F" w:rsidRPr="000F4AE5" w:rsidRDefault="009F07A7" w:rsidP="007F060F">
      <w:pPr>
        <w:pStyle w:val="Default"/>
        <w:numPr>
          <w:ilvl w:val="0"/>
          <w:numId w:val="41"/>
        </w:numPr>
        <w:rPr>
          <w:color w:val="auto"/>
        </w:rPr>
      </w:pPr>
      <w:r w:rsidRPr="000F4AE5">
        <w:rPr>
          <w:color w:val="auto"/>
        </w:rPr>
        <w:t>Efficiencies in the merger are</w:t>
      </w:r>
      <w:r w:rsidR="007F060F" w:rsidRPr="000F4AE5">
        <w:rPr>
          <w:color w:val="auto"/>
        </w:rPr>
        <w:t xml:space="preserve"> very ‘merger specific’ as such efficiencies could not be induced through arms-length contracts (prior</w:t>
      </w:r>
      <w:r w:rsidR="00270430" w:rsidRPr="000F4AE5">
        <w:rPr>
          <w:color w:val="auto"/>
        </w:rPr>
        <w:t xml:space="preserve"> to</w:t>
      </w:r>
      <w:r w:rsidR="007F060F" w:rsidRPr="000F4AE5">
        <w:rPr>
          <w:color w:val="auto"/>
        </w:rPr>
        <w:t xml:space="preserve"> the merger, Intel tried to achieve a similar outcome through reaching contractual arrangements, but failed)</w:t>
      </w:r>
      <w:r w:rsidRPr="000F4AE5">
        <w:rPr>
          <w:color w:val="auto"/>
        </w:rPr>
        <w:t xml:space="preserve"> – query whether synergies </w:t>
      </w:r>
      <w:r w:rsidR="00270430" w:rsidRPr="000F4AE5">
        <w:rPr>
          <w:color w:val="auto"/>
        </w:rPr>
        <w:t xml:space="preserve">were </w:t>
      </w:r>
      <w:r w:rsidRPr="000F4AE5">
        <w:rPr>
          <w:color w:val="auto"/>
        </w:rPr>
        <w:t xml:space="preserve">appropriately taken into account in the assessment </w:t>
      </w:r>
      <w:r w:rsidR="00270430" w:rsidRPr="000F4AE5">
        <w:rPr>
          <w:color w:val="auto"/>
        </w:rPr>
        <w:t>and whether the remedy to a large extent undermined the value of the merger</w:t>
      </w:r>
    </w:p>
    <w:p w:rsidR="009F07A7" w:rsidRPr="000F4AE5" w:rsidRDefault="009F07A7" w:rsidP="007F060F">
      <w:pPr>
        <w:pStyle w:val="Default"/>
        <w:numPr>
          <w:ilvl w:val="0"/>
          <w:numId w:val="41"/>
        </w:numPr>
        <w:rPr>
          <w:color w:val="auto"/>
        </w:rPr>
      </w:pPr>
      <w:r w:rsidRPr="000F4AE5">
        <w:rPr>
          <w:color w:val="auto"/>
        </w:rPr>
        <w:t xml:space="preserve">Free access to joint innovations with Intel might discourage innovation </w:t>
      </w:r>
    </w:p>
    <w:p w:rsidR="009F07A7" w:rsidRPr="000F4AE5" w:rsidRDefault="009F07A7" w:rsidP="009F07A7">
      <w:pPr>
        <w:pStyle w:val="Default"/>
        <w:rPr>
          <w:color w:val="auto"/>
        </w:rPr>
      </w:pPr>
    </w:p>
    <w:p w:rsidR="009F07A7" w:rsidRPr="000F4AE5" w:rsidRDefault="009F07A7" w:rsidP="005F2B93">
      <w:pPr>
        <w:pStyle w:val="Default"/>
        <w:rPr>
          <w:color w:val="auto"/>
        </w:rPr>
      </w:pPr>
      <w:r w:rsidRPr="000F4AE5">
        <w:rPr>
          <w:color w:val="auto"/>
        </w:rPr>
        <w:t>Microsoft/</w:t>
      </w:r>
      <w:r w:rsidR="009D5206" w:rsidRPr="000F4AE5">
        <w:rPr>
          <w:color w:val="auto"/>
        </w:rPr>
        <w:t>Skype is a mirror case to</w:t>
      </w:r>
      <w:r w:rsidRPr="000F4AE5">
        <w:rPr>
          <w:color w:val="auto"/>
        </w:rPr>
        <w:t xml:space="preserve"> the Microsoft Media Player case. The merger was cleared with no remedy </w:t>
      </w:r>
      <w:r w:rsidR="009D5206" w:rsidRPr="000F4AE5">
        <w:rPr>
          <w:color w:val="auto"/>
        </w:rPr>
        <w:t xml:space="preserve">(appeal by Cisco) </w:t>
      </w:r>
      <w:r w:rsidRPr="000F4AE5">
        <w:rPr>
          <w:color w:val="auto"/>
        </w:rPr>
        <w:t xml:space="preserve">on the basis that: </w:t>
      </w:r>
    </w:p>
    <w:p w:rsidR="009F07A7" w:rsidRPr="000F4AE5" w:rsidRDefault="009F07A7" w:rsidP="005F2B93">
      <w:pPr>
        <w:pStyle w:val="Default"/>
        <w:rPr>
          <w:color w:val="auto"/>
        </w:rPr>
      </w:pPr>
    </w:p>
    <w:p w:rsidR="009F07A7" w:rsidRPr="000F4AE5" w:rsidRDefault="009D5206" w:rsidP="009D5206">
      <w:pPr>
        <w:pStyle w:val="Default"/>
        <w:numPr>
          <w:ilvl w:val="0"/>
          <w:numId w:val="41"/>
        </w:numPr>
        <w:rPr>
          <w:color w:val="auto"/>
        </w:rPr>
      </w:pPr>
      <w:r w:rsidRPr="000F4AE5">
        <w:rPr>
          <w:color w:val="auto"/>
        </w:rPr>
        <w:t xml:space="preserve">Horizontal overlap for consumer video calls on PCs (share 80%) but low entry barriers and price sensitive consumers </w:t>
      </w:r>
    </w:p>
    <w:p w:rsidR="009D5206" w:rsidRPr="000F4AE5" w:rsidRDefault="009D5206" w:rsidP="009D5206">
      <w:pPr>
        <w:pStyle w:val="Default"/>
        <w:numPr>
          <w:ilvl w:val="0"/>
          <w:numId w:val="41"/>
        </w:numPr>
        <w:rPr>
          <w:color w:val="auto"/>
        </w:rPr>
      </w:pPr>
      <w:r w:rsidRPr="000F4AE5">
        <w:rPr>
          <w:color w:val="auto"/>
        </w:rPr>
        <w:t xml:space="preserve">Two sided market. Theory of harm less straight forward </w:t>
      </w:r>
      <w:r w:rsidR="00CD023C" w:rsidRPr="000F4AE5">
        <w:rPr>
          <w:color w:val="auto"/>
        </w:rPr>
        <w:t xml:space="preserve">as monopoly on the free product, but monopoly rent </w:t>
      </w:r>
    </w:p>
    <w:p w:rsidR="00CD023C" w:rsidRPr="000F4AE5" w:rsidRDefault="00CD023C" w:rsidP="00CD023C">
      <w:pPr>
        <w:pStyle w:val="Default"/>
        <w:rPr>
          <w:color w:val="auto"/>
        </w:rPr>
      </w:pPr>
    </w:p>
    <w:p w:rsidR="00CD023C" w:rsidRPr="000F4AE5" w:rsidRDefault="00CD023C" w:rsidP="00CD023C">
      <w:pPr>
        <w:pStyle w:val="Default"/>
        <w:rPr>
          <w:color w:val="auto"/>
        </w:rPr>
      </w:pPr>
      <w:r w:rsidRPr="000F4AE5">
        <w:rPr>
          <w:color w:val="auto"/>
        </w:rPr>
        <w:t xml:space="preserve">Google/Motorola </w:t>
      </w:r>
    </w:p>
    <w:p w:rsidR="00CD023C" w:rsidRPr="000F4AE5" w:rsidRDefault="00CD023C" w:rsidP="00CD023C">
      <w:pPr>
        <w:pStyle w:val="Default"/>
        <w:rPr>
          <w:color w:val="auto"/>
        </w:rPr>
      </w:pPr>
    </w:p>
    <w:p w:rsidR="00AB34C1" w:rsidRPr="000F4AE5" w:rsidRDefault="00CD023C" w:rsidP="00CD023C">
      <w:pPr>
        <w:pStyle w:val="Default"/>
        <w:rPr>
          <w:color w:val="auto"/>
        </w:rPr>
      </w:pPr>
      <w:r w:rsidRPr="000F4AE5">
        <w:rPr>
          <w:color w:val="auto"/>
        </w:rPr>
        <w:lastRenderedPageBreak/>
        <w:t>There were a range of complaints</w:t>
      </w:r>
      <w:r w:rsidR="00270430" w:rsidRPr="000F4AE5">
        <w:rPr>
          <w:color w:val="auto"/>
        </w:rPr>
        <w:t>. Some were</w:t>
      </w:r>
      <w:r w:rsidRPr="000F4AE5">
        <w:rPr>
          <w:color w:val="auto"/>
        </w:rPr>
        <w:t xml:space="preserve"> on </w:t>
      </w:r>
      <w:r w:rsidR="00270430" w:rsidRPr="000F4AE5">
        <w:rPr>
          <w:color w:val="auto"/>
        </w:rPr>
        <w:t xml:space="preserve">a conventional </w:t>
      </w:r>
      <w:r w:rsidRPr="000F4AE5">
        <w:rPr>
          <w:color w:val="auto"/>
        </w:rPr>
        <w:t xml:space="preserve">foreclosure </w:t>
      </w:r>
      <w:r w:rsidR="00270430" w:rsidRPr="000F4AE5">
        <w:rPr>
          <w:color w:val="auto"/>
        </w:rPr>
        <w:t xml:space="preserve">basis </w:t>
      </w:r>
      <w:r w:rsidR="00AB34C1" w:rsidRPr="000F4AE5">
        <w:rPr>
          <w:color w:val="auto"/>
        </w:rPr>
        <w:t xml:space="preserve">(access to Android platform) but the main focus moved towards the significance of the IP portfolio (competition in the market). Motorola was litigating prior the merger, and there was no obvious reason to believe that Google would necessarily be more aggressive. The merger was cleared – but Article 102 investigation opened. </w:t>
      </w:r>
    </w:p>
    <w:p w:rsidR="00AB34C1" w:rsidRPr="000F4AE5" w:rsidRDefault="00AB34C1" w:rsidP="00CD023C">
      <w:pPr>
        <w:pStyle w:val="Default"/>
        <w:rPr>
          <w:color w:val="auto"/>
        </w:rPr>
      </w:pPr>
    </w:p>
    <w:p w:rsidR="00AB34C1" w:rsidRPr="000F4AE5" w:rsidRDefault="00AB34C1" w:rsidP="00CD023C">
      <w:pPr>
        <w:pStyle w:val="Default"/>
        <w:rPr>
          <w:color w:val="auto"/>
        </w:rPr>
      </w:pPr>
      <w:r w:rsidRPr="000F4AE5">
        <w:rPr>
          <w:color w:val="auto"/>
        </w:rPr>
        <w:t xml:space="preserve">Following the review of the case, Dr Caffarra has come up with a few ‘tentative’ themes. </w:t>
      </w:r>
    </w:p>
    <w:p w:rsidR="00AB34C1" w:rsidRPr="000F4AE5" w:rsidRDefault="00AB34C1" w:rsidP="00CD023C">
      <w:pPr>
        <w:pStyle w:val="Default"/>
        <w:rPr>
          <w:color w:val="auto"/>
        </w:rPr>
      </w:pPr>
    </w:p>
    <w:p w:rsidR="00270430" w:rsidRPr="000F4AE5" w:rsidRDefault="00270430" w:rsidP="00AB34C1">
      <w:pPr>
        <w:pStyle w:val="Default"/>
        <w:numPr>
          <w:ilvl w:val="0"/>
          <w:numId w:val="41"/>
        </w:numPr>
        <w:rPr>
          <w:color w:val="auto"/>
        </w:rPr>
      </w:pPr>
      <w:r w:rsidRPr="000F4AE5">
        <w:rPr>
          <w:color w:val="auto"/>
        </w:rPr>
        <w:t xml:space="preserve">There has been a convergence of merger control and Article 102 analysis, as set out in the Commission’s Guidelines on the assessment of non-horizontal mergers and its Article 102 Guidance </w:t>
      </w:r>
    </w:p>
    <w:p w:rsidR="00AB34C1" w:rsidRPr="000F4AE5" w:rsidRDefault="00AB34C1" w:rsidP="00AB34C1">
      <w:pPr>
        <w:pStyle w:val="Default"/>
        <w:numPr>
          <w:ilvl w:val="0"/>
          <w:numId w:val="41"/>
        </w:numPr>
        <w:rPr>
          <w:color w:val="auto"/>
        </w:rPr>
      </w:pPr>
      <w:r w:rsidRPr="000F4AE5">
        <w:rPr>
          <w:color w:val="auto"/>
        </w:rPr>
        <w:t xml:space="preserve">In today’s world, a theory of harm is unlikely to be built </w:t>
      </w:r>
      <w:r w:rsidR="00270430" w:rsidRPr="000F4AE5">
        <w:rPr>
          <w:color w:val="auto"/>
        </w:rPr>
        <w:t xml:space="preserve">on an ex ante basis </w:t>
      </w:r>
      <w:r w:rsidRPr="000F4AE5">
        <w:rPr>
          <w:color w:val="auto"/>
        </w:rPr>
        <w:t>around a contractual tying</w:t>
      </w:r>
    </w:p>
    <w:p w:rsidR="00AB34C1" w:rsidRPr="000F4AE5" w:rsidRDefault="00AB34C1" w:rsidP="00AB34C1">
      <w:pPr>
        <w:pStyle w:val="Default"/>
        <w:numPr>
          <w:ilvl w:val="0"/>
          <w:numId w:val="41"/>
        </w:numPr>
        <w:rPr>
          <w:color w:val="auto"/>
        </w:rPr>
      </w:pPr>
      <w:r w:rsidRPr="000F4AE5">
        <w:rPr>
          <w:color w:val="auto"/>
        </w:rPr>
        <w:t>A technical tie is an issue which must be tackled ex-ante (McAfee) – less significant issues in 2 sided platform in which the authorities can ‘wait and see’ before intervening</w:t>
      </w:r>
    </w:p>
    <w:p w:rsidR="00AB34C1" w:rsidRPr="000F4AE5" w:rsidRDefault="00AB34C1" w:rsidP="00AB34C1">
      <w:pPr>
        <w:pStyle w:val="Default"/>
        <w:numPr>
          <w:ilvl w:val="0"/>
          <w:numId w:val="41"/>
        </w:numPr>
        <w:rPr>
          <w:color w:val="auto"/>
        </w:rPr>
      </w:pPr>
      <w:r w:rsidRPr="000F4AE5">
        <w:rPr>
          <w:color w:val="auto"/>
        </w:rPr>
        <w:t>The enforcer’s dilemma for ex-ante intervention is not trivial. Too early intervention dampen</w:t>
      </w:r>
      <w:r w:rsidR="009B3404" w:rsidRPr="000F4AE5">
        <w:rPr>
          <w:color w:val="auto"/>
        </w:rPr>
        <w:t>s</w:t>
      </w:r>
      <w:r w:rsidRPr="000F4AE5">
        <w:rPr>
          <w:color w:val="auto"/>
        </w:rPr>
        <w:t xml:space="preserve"> incentive to innovate. </w:t>
      </w:r>
    </w:p>
    <w:p w:rsidR="008F5DE7" w:rsidRPr="000F4AE5" w:rsidRDefault="008F5DE7" w:rsidP="008F5DE7">
      <w:pPr>
        <w:pStyle w:val="Default"/>
        <w:rPr>
          <w:color w:val="auto"/>
        </w:rPr>
      </w:pPr>
    </w:p>
    <w:p w:rsidR="008F5DE7" w:rsidRPr="000F4AE5" w:rsidRDefault="008F5DE7" w:rsidP="008F5DE7">
      <w:pPr>
        <w:pStyle w:val="Default"/>
        <w:rPr>
          <w:color w:val="auto"/>
        </w:rPr>
      </w:pPr>
      <w:r w:rsidRPr="000F4AE5">
        <w:rPr>
          <w:color w:val="auto"/>
        </w:rPr>
        <w:t xml:space="preserve">Cristina produced slides available via the ‘past events’ section of the CLA website. </w:t>
      </w:r>
    </w:p>
    <w:p w:rsidR="008F5DE7" w:rsidRPr="000F4AE5" w:rsidRDefault="008F5DE7" w:rsidP="008F5DE7">
      <w:pPr>
        <w:pStyle w:val="Default"/>
        <w:rPr>
          <w:color w:val="auto"/>
        </w:rPr>
      </w:pPr>
    </w:p>
    <w:p w:rsidR="00AC4353" w:rsidRPr="000F4AE5" w:rsidRDefault="00AC4353" w:rsidP="00AC4353">
      <w:pPr>
        <w:pStyle w:val="Default"/>
        <w:rPr>
          <w:color w:val="auto"/>
        </w:rPr>
      </w:pPr>
    </w:p>
    <w:p w:rsidR="00AC4353" w:rsidRPr="000F4AE5" w:rsidRDefault="00AC4353" w:rsidP="00AC4353">
      <w:pPr>
        <w:pStyle w:val="Default"/>
        <w:rPr>
          <w:b/>
          <w:color w:val="auto"/>
        </w:rPr>
      </w:pPr>
      <w:r w:rsidRPr="000F4AE5">
        <w:rPr>
          <w:b/>
          <w:color w:val="auto"/>
        </w:rPr>
        <w:t xml:space="preserve">Miguel de la Mano </w:t>
      </w:r>
    </w:p>
    <w:p w:rsidR="00AC4353" w:rsidRPr="000F4AE5" w:rsidRDefault="00AC4353" w:rsidP="00AC4353">
      <w:pPr>
        <w:pStyle w:val="Default"/>
        <w:rPr>
          <w:color w:val="auto"/>
        </w:rPr>
      </w:pPr>
    </w:p>
    <w:p w:rsidR="00AC4353" w:rsidRPr="000F4AE5" w:rsidRDefault="00AC4353" w:rsidP="00AC4353">
      <w:pPr>
        <w:pStyle w:val="Default"/>
        <w:rPr>
          <w:color w:val="auto"/>
        </w:rPr>
      </w:pPr>
      <w:r w:rsidRPr="000F4AE5">
        <w:rPr>
          <w:color w:val="auto"/>
        </w:rPr>
        <w:t xml:space="preserve">Miguel is Deputy Chief Economist at the European Commission. Recently he has been on secondment as Acting Chief Economist at the UK Competition Commission. </w:t>
      </w:r>
    </w:p>
    <w:p w:rsidR="00AC4353" w:rsidRPr="000F4AE5" w:rsidRDefault="00AC4353" w:rsidP="00AC4353">
      <w:pPr>
        <w:pStyle w:val="Default"/>
        <w:rPr>
          <w:color w:val="auto"/>
        </w:rPr>
      </w:pPr>
    </w:p>
    <w:p w:rsidR="00AC4353" w:rsidRPr="000F4AE5" w:rsidRDefault="00AC4353" w:rsidP="00AC4353">
      <w:pPr>
        <w:pStyle w:val="Default"/>
        <w:rPr>
          <w:color w:val="auto"/>
        </w:rPr>
      </w:pPr>
      <w:r w:rsidRPr="000F4AE5">
        <w:rPr>
          <w:color w:val="auto"/>
        </w:rPr>
        <w:t xml:space="preserve">Miguel gave a lively account of the enforcer’s dilemma – when is the right time for intervention. </w:t>
      </w:r>
      <w:r w:rsidR="00270430" w:rsidRPr="000F4AE5">
        <w:rPr>
          <w:color w:val="auto"/>
        </w:rPr>
        <w:t>He focused on the need to reduce Type 1 errors under merger control and Type 2 errors under Article 102.</w:t>
      </w:r>
    </w:p>
    <w:p w:rsidR="00AC4353" w:rsidRPr="000F4AE5" w:rsidRDefault="00AC4353" w:rsidP="00AC4353">
      <w:pPr>
        <w:pStyle w:val="Default"/>
        <w:rPr>
          <w:color w:val="auto"/>
        </w:rPr>
      </w:pPr>
    </w:p>
    <w:p w:rsidR="00AC4353" w:rsidRPr="000F4AE5" w:rsidRDefault="00AC4353" w:rsidP="00AC4353">
      <w:pPr>
        <w:pStyle w:val="Default"/>
        <w:rPr>
          <w:color w:val="auto"/>
        </w:rPr>
      </w:pPr>
      <w:r w:rsidRPr="000F4AE5">
        <w:rPr>
          <w:color w:val="auto"/>
        </w:rPr>
        <w:t xml:space="preserve">Ex ante intervention is justified if: </w:t>
      </w:r>
    </w:p>
    <w:p w:rsidR="00AC4353" w:rsidRPr="000F4AE5" w:rsidRDefault="00AC4353" w:rsidP="00AC4353">
      <w:pPr>
        <w:pStyle w:val="Default"/>
        <w:rPr>
          <w:color w:val="auto"/>
        </w:rPr>
      </w:pPr>
    </w:p>
    <w:p w:rsidR="00AC4353" w:rsidRPr="000F4AE5" w:rsidRDefault="00AC4353" w:rsidP="00AC4353">
      <w:pPr>
        <w:pStyle w:val="Default"/>
        <w:numPr>
          <w:ilvl w:val="0"/>
          <w:numId w:val="41"/>
        </w:numPr>
        <w:rPr>
          <w:color w:val="auto"/>
        </w:rPr>
      </w:pPr>
      <w:r w:rsidRPr="000F4AE5">
        <w:rPr>
          <w:color w:val="auto"/>
        </w:rPr>
        <w:t>The conduct is difficult to reverse</w:t>
      </w:r>
    </w:p>
    <w:p w:rsidR="00AC4353" w:rsidRPr="000F4AE5" w:rsidRDefault="00AC4353" w:rsidP="00AC4353">
      <w:pPr>
        <w:pStyle w:val="Default"/>
        <w:numPr>
          <w:ilvl w:val="0"/>
          <w:numId w:val="41"/>
        </w:numPr>
        <w:rPr>
          <w:color w:val="auto"/>
        </w:rPr>
      </w:pPr>
      <w:r w:rsidRPr="000F4AE5">
        <w:rPr>
          <w:color w:val="auto"/>
        </w:rPr>
        <w:t xml:space="preserve">There is immediate harm to consumers </w:t>
      </w:r>
    </w:p>
    <w:p w:rsidR="005B45A3" w:rsidRPr="000F4AE5" w:rsidRDefault="00AC4353" w:rsidP="005B45A3">
      <w:pPr>
        <w:pStyle w:val="Default"/>
        <w:numPr>
          <w:ilvl w:val="0"/>
          <w:numId w:val="41"/>
        </w:numPr>
        <w:rPr>
          <w:color w:val="auto"/>
        </w:rPr>
      </w:pPr>
      <w:r w:rsidRPr="000F4AE5">
        <w:rPr>
          <w:color w:val="auto"/>
        </w:rPr>
        <w:t>Anti-competitive harm can be predicted with reasonable accuracy</w:t>
      </w:r>
    </w:p>
    <w:p w:rsidR="005B45A3" w:rsidRPr="000F4AE5" w:rsidRDefault="005B45A3" w:rsidP="005B45A3">
      <w:pPr>
        <w:pStyle w:val="Default"/>
        <w:rPr>
          <w:color w:val="auto"/>
        </w:rPr>
      </w:pPr>
    </w:p>
    <w:p w:rsidR="00AC4353" w:rsidRPr="000F4AE5" w:rsidRDefault="005B45A3" w:rsidP="005B45A3">
      <w:pPr>
        <w:pStyle w:val="Default"/>
        <w:rPr>
          <w:color w:val="auto"/>
        </w:rPr>
      </w:pPr>
      <w:r w:rsidRPr="000F4AE5">
        <w:rPr>
          <w:color w:val="auto"/>
        </w:rPr>
        <w:t xml:space="preserve">Miguel </w:t>
      </w:r>
      <w:r w:rsidR="009B3404" w:rsidRPr="000F4AE5">
        <w:rPr>
          <w:color w:val="auto"/>
        </w:rPr>
        <w:t xml:space="preserve">discussed </w:t>
      </w:r>
      <w:r w:rsidRPr="000F4AE5">
        <w:rPr>
          <w:color w:val="auto"/>
        </w:rPr>
        <w:t xml:space="preserve">efficiencies </w:t>
      </w:r>
      <w:r w:rsidR="00270430" w:rsidRPr="000F4AE5">
        <w:rPr>
          <w:color w:val="auto"/>
        </w:rPr>
        <w:t xml:space="preserve">and the risk in merger control of intervening where a merger will create efficiencies </w:t>
      </w:r>
      <w:r w:rsidRPr="000F4AE5">
        <w:rPr>
          <w:color w:val="auto"/>
        </w:rPr>
        <w:t>–</w:t>
      </w:r>
      <w:r w:rsidR="009B3404" w:rsidRPr="000F4AE5">
        <w:rPr>
          <w:color w:val="auto"/>
        </w:rPr>
        <w:t xml:space="preserve"> efficiencies</w:t>
      </w:r>
      <w:r w:rsidRPr="000F4AE5">
        <w:rPr>
          <w:color w:val="auto"/>
        </w:rPr>
        <w:t xml:space="preserve"> are </w:t>
      </w:r>
      <w:proofErr w:type="gramStart"/>
      <w:r w:rsidRPr="000F4AE5">
        <w:rPr>
          <w:color w:val="auto"/>
        </w:rPr>
        <w:t>key</w:t>
      </w:r>
      <w:proofErr w:type="gramEnd"/>
      <w:r w:rsidRPr="000F4AE5">
        <w:rPr>
          <w:color w:val="auto"/>
        </w:rPr>
        <w:t xml:space="preserve"> to a merger control assessment. Where e</w:t>
      </w:r>
      <w:r w:rsidR="00AC4353" w:rsidRPr="000F4AE5">
        <w:rPr>
          <w:color w:val="auto"/>
        </w:rPr>
        <w:t xml:space="preserve">fficiencies </w:t>
      </w:r>
      <w:r w:rsidRPr="000F4AE5">
        <w:rPr>
          <w:color w:val="auto"/>
        </w:rPr>
        <w:t xml:space="preserve">generate sufficient benefits, the authorities are more likely to consider behavioural remedies or to defer intervention. Miguel pointed out that the review of efficiencies is not a ‘black and white’ exercise, but should be considered on a balance of probabilities, as any other competitive assessment – is the merger likely to result in efficiencies? </w:t>
      </w:r>
    </w:p>
    <w:p w:rsidR="005B45A3" w:rsidRPr="000F4AE5" w:rsidRDefault="005B45A3" w:rsidP="005B45A3">
      <w:pPr>
        <w:pStyle w:val="Default"/>
        <w:rPr>
          <w:color w:val="auto"/>
        </w:rPr>
      </w:pPr>
    </w:p>
    <w:p w:rsidR="005B45A3" w:rsidRPr="000F4AE5" w:rsidRDefault="005B45A3" w:rsidP="005B45A3">
      <w:pPr>
        <w:pStyle w:val="Default"/>
        <w:rPr>
          <w:color w:val="auto"/>
        </w:rPr>
      </w:pPr>
      <w:r w:rsidRPr="000F4AE5">
        <w:rPr>
          <w:color w:val="auto"/>
        </w:rPr>
        <w:lastRenderedPageBreak/>
        <w:t xml:space="preserve">Merger control differs to Article 102 in several aspects: </w:t>
      </w:r>
    </w:p>
    <w:p w:rsidR="005B45A3" w:rsidRPr="000F4AE5" w:rsidRDefault="005B45A3" w:rsidP="005B45A3">
      <w:pPr>
        <w:pStyle w:val="Default"/>
        <w:rPr>
          <w:color w:val="auto"/>
        </w:rPr>
      </w:pPr>
    </w:p>
    <w:p w:rsidR="005B45A3" w:rsidRPr="000F4AE5" w:rsidRDefault="005B45A3" w:rsidP="005B45A3">
      <w:pPr>
        <w:pStyle w:val="Default"/>
        <w:numPr>
          <w:ilvl w:val="0"/>
          <w:numId w:val="41"/>
        </w:numPr>
        <w:rPr>
          <w:color w:val="auto"/>
        </w:rPr>
      </w:pPr>
      <w:r w:rsidRPr="000F4AE5">
        <w:rPr>
          <w:color w:val="auto"/>
        </w:rPr>
        <w:t xml:space="preserve">Merger control prevents market power – it is presumed that a company acquiring market power will have the incentive to enter into exploitative abuse (even absence dominance). For instance EDF/GDF </w:t>
      </w:r>
    </w:p>
    <w:p w:rsidR="005B45A3" w:rsidRPr="000F4AE5" w:rsidRDefault="005B45A3" w:rsidP="005B45A3">
      <w:pPr>
        <w:pStyle w:val="Default"/>
        <w:numPr>
          <w:ilvl w:val="0"/>
          <w:numId w:val="41"/>
        </w:numPr>
        <w:rPr>
          <w:color w:val="auto"/>
        </w:rPr>
      </w:pPr>
      <w:r w:rsidRPr="000F4AE5">
        <w:rPr>
          <w:color w:val="auto"/>
        </w:rPr>
        <w:t>Unlike merger control, Article 102 requires the dominance</w:t>
      </w:r>
      <w:r w:rsidR="00270430" w:rsidRPr="000F4AE5">
        <w:rPr>
          <w:color w:val="auto"/>
        </w:rPr>
        <w:t xml:space="preserve"> to be proved</w:t>
      </w:r>
      <w:r w:rsidRPr="000F4AE5">
        <w:rPr>
          <w:color w:val="auto"/>
        </w:rPr>
        <w:t xml:space="preserve">. On the other hand, dominance is not prohibited per se. </w:t>
      </w:r>
    </w:p>
    <w:p w:rsidR="005B45A3" w:rsidRPr="000F4AE5" w:rsidRDefault="005B45A3" w:rsidP="005B45A3">
      <w:pPr>
        <w:pStyle w:val="Default"/>
        <w:rPr>
          <w:color w:val="auto"/>
        </w:rPr>
      </w:pPr>
    </w:p>
    <w:p w:rsidR="00AC4353" w:rsidRPr="000F4AE5" w:rsidRDefault="005B45A3" w:rsidP="00AC4353">
      <w:pPr>
        <w:pStyle w:val="Default"/>
        <w:rPr>
          <w:color w:val="auto"/>
        </w:rPr>
      </w:pPr>
      <w:r w:rsidRPr="000F4AE5">
        <w:rPr>
          <w:color w:val="auto"/>
        </w:rPr>
        <w:t>There is a significant</w:t>
      </w:r>
      <w:r w:rsidR="00986ACB" w:rsidRPr="000F4AE5">
        <w:rPr>
          <w:color w:val="auto"/>
        </w:rPr>
        <w:t xml:space="preserve"> dilemma for the authorities </w:t>
      </w:r>
      <w:r w:rsidRPr="000F4AE5">
        <w:rPr>
          <w:color w:val="auto"/>
        </w:rPr>
        <w:t xml:space="preserve">between a risk of </w:t>
      </w:r>
      <w:r w:rsidR="00270430" w:rsidRPr="000F4AE5">
        <w:rPr>
          <w:color w:val="auto"/>
        </w:rPr>
        <w:t>hawkish</w:t>
      </w:r>
      <w:r w:rsidRPr="000F4AE5">
        <w:rPr>
          <w:color w:val="auto"/>
        </w:rPr>
        <w:t xml:space="preserve"> intervention (shoot good mergers) and dovish enforcement. Dovish enforcement might be a temptation given that </w:t>
      </w:r>
      <w:r w:rsidR="00270430" w:rsidRPr="000F4AE5">
        <w:rPr>
          <w:color w:val="auto"/>
        </w:rPr>
        <w:t xml:space="preserve">competition concerns </w:t>
      </w:r>
      <w:r w:rsidRPr="000F4AE5">
        <w:rPr>
          <w:color w:val="auto"/>
        </w:rPr>
        <w:t>could be fixed under Article 102; however this is not a solution because Article 102 would be applic</w:t>
      </w:r>
      <w:r w:rsidR="00986ACB" w:rsidRPr="000F4AE5">
        <w:rPr>
          <w:color w:val="auto"/>
        </w:rPr>
        <w:t>able only if there is dominance and</w:t>
      </w:r>
      <w:r w:rsidRPr="000F4AE5">
        <w:rPr>
          <w:color w:val="auto"/>
        </w:rPr>
        <w:t xml:space="preserve"> harm might already have been produced by the time of enforcement action</w:t>
      </w:r>
      <w:r w:rsidR="00986ACB" w:rsidRPr="000F4AE5">
        <w:rPr>
          <w:color w:val="auto"/>
        </w:rPr>
        <w:t>.</w:t>
      </w:r>
    </w:p>
    <w:p w:rsidR="00986ACB" w:rsidRPr="000F4AE5" w:rsidRDefault="00986ACB" w:rsidP="00AC4353">
      <w:pPr>
        <w:pStyle w:val="Default"/>
        <w:rPr>
          <w:color w:val="auto"/>
        </w:rPr>
      </w:pPr>
    </w:p>
    <w:p w:rsidR="004C4C1F" w:rsidRPr="000F4AE5" w:rsidRDefault="00986ACB" w:rsidP="004C4C1F">
      <w:pPr>
        <w:pStyle w:val="Default"/>
        <w:rPr>
          <w:color w:val="auto"/>
        </w:rPr>
      </w:pPr>
      <w:r w:rsidRPr="000F4AE5">
        <w:rPr>
          <w:color w:val="auto"/>
        </w:rPr>
        <w:t xml:space="preserve">Miguel noted that </w:t>
      </w:r>
      <w:r w:rsidR="004C4C1F" w:rsidRPr="000F4AE5">
        <w:rPr>
          <w:color w:val="auto"/>
        </w:rPr>
        <w:t xml:space="preserve">in article 102 cases, </w:t>
      </w:r>
      <w:r w:rsidRPr="000F4AE5">
        <w:rPr>
          <w:color w:val="auto"/>
        </w:rPr>
        <w:t xml:space="preserve">dominance acts as a </w:t>
      </w:r>
      <w:r w:rsidR="004C4C1F" w:rsidRPr="000F4AE5">
        <w:rPr>
          <w:color w:val="auto"/>
        </w:rPr>
        <w:t xml:space="preserve">screen but an imperfect screen: some large players are not necessarily dominant ‘as yet’ but their practice might be harmful. For example the following practices might be harmful even if they do not arise from a dominant player:   </w:t>
      </w:r>
    </w:p>
    <w:p w:rsidR="004C4C1F" w:rsidRPr="000F4AE5" w:rsidRDefault="004C4C1F" w:rsidP="004C4C1F">
      <w:pPr>
        <w:pStyle w:val="Default"/>
        <w:rPr>
          <w:color w:val="auto"/>
        </w:rPr>
      </w:pPr>
    </w:p>
    <w:p w:rsidR="004C4C1F" w:rsidRPr="000F4AE5" w:rsidRDefault="00A10775" w:rsidP="004C4C1F">
      <w:pPr>
        <w:pStyle w:val="Default"/>
        <w:numPr>
          <w:ilvl w:val="0"/>
          <w:numId w:val="41"/>
        </w:numPr>
        <w:rPr>
          <w:color w:val="auto"/>
        </w:rPr>
      </w:pPr>
      <w:r w:rsidRPr="000F4AE5">
        <w:rPr>
          <w:color w:val="auto"/>
        </w:rPr>
        <w:t>In the P</w:t>
      </w:r>
      <w:r w:rsidR="004C4C1F" w:rsidRPr="000F4AE5">
        <w:rPr>
          <w:color w:val="auto"/>
        </w:rPr>
        <w:t xml:space="preserve">harma sector, entry deterrence might protect significant rents </w:t>
      </w:r>
    </w:p>
    <w:p w:rsidR="004C4C1F" w:rsidRPr="000F4AE5" w:rsidRDefault="004C4C1F" w:rsidP="004C4C1F">
      <w:pPr>
        <w:pStyle w:val="Default"/>
        <w:numPr>
          <w:ilvl w:val="0"/>
          <w:numId w:val="41"/>
        </w:numPr>
        <w:rPr>
          <w:color w:val="auto"/>
        </w:rPr>
      </w:pPr>
      <w:r w:rsidRPr="000F4AE5">
        <w:rPr>
          <w:color w:val="auto"/>
        </w:rPr>
        <w:t xml:space="preserve">Patent holds-up </w:t>
      </w:r>
    </w:p>
    <w:p w:rsidR="004C4C1F" w:rsidRPr="000F4AE5" w:rsidRDefault="004C4C1F" w:rsidP="004C4C1F">
      <w:pPr>
        <w:pStyle w:val="Default"/>
        <w:numPr>
          <w:ilvl w:val="0"/>
          <w:numId w:val="41"/>
        </w:numPr>
        <w:rPr>
          <w:color w:val="auto"/>
        </w:rPr>
      </w:pPr>
      <w:r w:rsidRPr="000F4AE5">
        <w:rPr>
          <w:color w:val="auto"/>
        </w:rPr>
        <w:t xml:space="preserve">Predation by a new entrant </w:t>
      </w:r>
    </w:p>
    <w:p w:rsidR="005B45A3" w:rsidRPr="000F4AE5" w:rsidRDefault="005B45A3" w:rsidP="00AC4353">
      <w:pPr>
        <w:pStyle w:val="Default"/>
        <w:rPr>
          <w:color w:val="auto"/>
        </w:rPr>
      </w:pPr>
    </w:p>
    <w:p w:rsidR="004C4C1F" w:rsidRPr="000F4AE5" w:rsidRDefault="00A10775" w:rsidP="00AC4353">
      <w:pPr>
        <w:pStyle w:val="Default"/>
        <w:rPr>
          <w:color w:val="auto"/>
        </w:rPr>
      </w:pPr>
      <w:r w:rsidRPr="000F4AE5">
        <w:rPr>
          <w:color w:val="auto"/>
        </w:rPr>
        <w:t xml:space="preserve">In Rambus, the way around the fact that Rambus was not dominant at the time of the practice (patents’ ambush) was to state that Rambus acquired a dominant position through deceptive conduct and then exploited it when it was considered dominant. </w:t>
      </w:r>
    </w:p>
    <w:p w:rsidR="00A10775" w:rsidRPr="000F4AE5" w:rsidRDefault="00A10775" w:rsidP="00AC4353">
      <w:pPr>
        <w:pStyle w:val="Default"/>
        <w:rPr>
          <w:color w:val="auto"/>
        </w:rPr>
      </w:pPr>
    </w:p>
    <w:p w:rsidR="00A10775" w:rsidRPr="000F4AE5" w:rsidRDefault="00A10775" w:rsidP="00AC4353">
      <w:pPr>
        <w:pStyle w:val="Default"/>
        <w:rPr>
          <w:color w:val="auto"/>
        </w:rPr>
      </w:pPr>
      <w:r w:rsidRPr="000F4AE5">
        <w:rPr>
          <w:color w:val="auto"/>
        </w:rPr>
        <w:t xml:space="preserve">There is an impossible theorem in relation to Article 102: - not all these statements can be valid at the same time:  </w:t>
      </w:r>
    </w:p>
    <w:p w:rsidR="00A10775" w:rsidRPr="000F4AE5" w:rsidRDefault="00A10775" w:rsidP="00AC4353">
      <w:pPr>
        <w:pStyle w:val="Default"/>
        <w:rPr>
          <w:color w:val="auto"/>
        </w:rPr>
      </w:pPr>
    </w:p>
    <w:p w:rsidR="00A10775" w:rsidRPr="000F4AE5" w:rsidRDefault="00A10775" w:rsidP="00A10775">
      <w:pPr>
        <w:pStyle w:val="Default"/>
        <w:numPr>
          <w:ilvl w:val="0"/>
          <w:numId w:val="41"/>
        </w:numPr>
        <w:rPr>
          <w:color w:val="auto"/>
        </w:rPr>
      </w:pPr>
      <w:r w:rsidRPr="000F4AE5">
        <w:rPr>
          <w:color w:val="auto"/>
        </w:rPr>
        <w:t>Dominance is not abusive per se</w:t>
      </w:r>
    </w:p>
    <w:p w:rsidR="00A10775" w:rsidRPr="000F4AE5" w:rsidRDefault="00A10775" w:rsidP="00A10775">
      <w:pPr>
        <w:pStyle w:val="Default"/>
        <w:numPr>
          <w:ilvl w:val="0"/>
          <w:numId w:val="41"/>
        </w:numPr>
        <w:rPr>
          <w:color w:val="auto"/>
        </w:rPr>
      </w:pPr>
      <w:r w:rsidRPr="000F4AE5">
        <w:rPr>
          <w:color w:val="auto"/>
        </w:rPr>
        <w:t>A dominant player is one with market power</w:t>
      </w:r>
    </w:p>
    <w:p w:rsidR="00A10775" w:rsidRPr="000F4AE5" w:rsidRDefault="00A10775" w:rsidP="00A10775">
      <w:pPr>
        <w:pStyle w:val="Default"/>
        <w:numPr>
          <w:ilvl w:val="0"/>
          <w:numId w:val="41"/>
        </w:numPr>
        <w:rPr>
          <w:color w:val="auto"/>
        </w:rPr>
      </w:pPr>
      <w:r w:rsidRPr="000F4AE5">
        <w:rPr>
          <w:color w:val="auto"/>
        </w:rPr>
        <w:t xml:space="preserve">Market power is the ability to raise prices above competitive levels </w:t>
      </w:r>
    </w:p>
    <w:p w:rsidR="00A10775" w:rsidRPr="000F4AE5" w:rsidRDefault="00A10775" w:rsidP="00A10775">
      <w:pPr>
        <w:pStyle w:val="Default"/>
        <w:numPr>
          <w:ilvl w:val="0"/>
          <w:numId w:val="41"/>
        </w:numPr>
        <w:rPr>
          <w:color w:val="auto"/>
        </w:rPr>
      </w:pPr>
      <w:r w:rsidRPr="000F4AE5">
        <w:rPr>
          <w:color w:val="auto"/>
        </w:rPr>
        <w:t xml:space="preserve">Excessive prices are prices above the competitive levels </w:t>
      </w:r>
    </w:p>
    <w:p w:rsidR="00A10775" w:rsidRPr="000F4AE5" w:rsidRDefault="00A10775" w:rsidP="00A10775">
      <w:pPr>
        <w:pStyle w:val="Default"/>
        <w:numPr>
          <w:ilvl w:val="0"/>
          <w:numId w:val="41"/>
        </w:numPr>
        <w:rPr>
          <w:color w:val="auto"/>
        </w:rPr>
      </w:pPr>
      <w:r w:rsidRPr="000F4AE5">
        <w:rPr>
          <w:color w:val="auto"/>
        </w:rPr>
        <w:t xml:space="preserve">Excessive prices are an abuse of dominance </w:t>
      </w:r>
    </w:p>
    <w:p w:rsidR="00A10775" w:rsidRPr="000F4AE5" w:rsidRDefault="00A10775" w:rsidP="00A10775">
      <w:pPr>
        <w:pStyle w:val="Default"/>
        <w:rPr>
          <w:color w:val="auto"/>
        </w:rPr>
      </w:pPr>
    </w:p>
    <w:p w:rsidR="00D11439" w:rsidRPr="000F4AE5" w:rsidRDefault="00A10775" w:rsidP="005F2B93">
      <w:pPr>
        <w:rPr>
          <w:rFonts w:ascii="Arial" w:hAnsi="Arial" w:cs="Arial"/>
          <w:b/>
        </w:rPr>
      </w:pPr>
      <w:r w:rsidRPr="000F4AE5">
        <w:rPr>
          <w:rFonts w:ascii="Arial" w:hAnsi="Arial" w:cs="Arial"/>
          <w:b/>
        </w:rPr>
        <w:t xml:space="preserve">Questions from the floor </w:t>
      </w:r>
    </w:p>
    <w:p w:rsidR="009B3404" w:rsidRPr="000F4AE5" w:rsidRDefault="009B3404" w:rsidP="008F5DE7">
      <w:pPr>
        <w:pStyle w:val="Default"/>
        <w:numPr>
          <w:ilvl w:val="0"/>
          <w:numId w:val="41"/>
        </w:numPr>
        <w:rPr>
          <w:color w:val="auto"/>
        </w:rPr>
      </w:pPr>
      <w:r w:rsidRPr="000F4AE5">
        <w:rPr>
          <w:color w:val="auto"/>
        </w:rPr>
        <w:t>It was</w:t>
      </w:r>
      <w:r w:rsidR="00A10775" w:rsidRPr="000F4AE5">
        <w:rPr>
          <w:color w:val="auto"/>
        </w:rPr>
        <w:t xml:space="preserve"> pointed out that it was difficult to obtain behavioural remedies in merger cases. </w:t>
      </w:r>
      <w:r w:rsidRPr="000F4AE5">
        <w:rPr>
          <w:color w:val="auto"/>
        </w:rPr>
        <w:t xml:space="preserve">Miguel responded that the prospect of efficiencies should raise the appetite for behavioural remedies. In vertical or conglomerate mergers, efficiencies are more likely than in horizontal mergers, and therefore better candidates for behavioural remedies. However behavioural remedies are not always practical in Phase 1 because of timing. </w:t>
      </w:r>
    </w:p>
    <w:p w:rsidR="00A10775" w:rsidRPr="00E1198A" w:rsidRDefault="009B3404" w:rsidP="008F5DE7">
      <w:pPr>
        <w:pStyle w:val="Default"/>
        <w:numPr>
          <w:ilvl w:val="0"/>
          <w:numId w:val="41"/>
        </w:numPr>
      </w:pPr>
      <w:r w:rsidRPr="000F4AE5">
        <w:rPr>
          <w:color w:val="auto"/>
        </w:rPr>
        <w:t xml:space="preserve"> A question was raised on the chances of success of appeal in Article 102 cases – it seems very difficult to overturn Article 102 cases. </w:t>
      </w:r>
      <w:r w:rsidR="008F5DE7" w:rsidRPr="000F4AE5">
        <w:rPr>
          <w:color w:val="auto"/>
        </w:rPr>
        <w:lastRenderedPageBreak/>
        <w:t xml:space="preserve">Alastair pointed out that the notification process for mergers mean that many mergers are reviewed. </w:t>
      </w:r>
      <w:r w:rsidR="00270430" w:rsidRPr="000F4AE5">
        <w:rPr>
          <w:color w:val="auto"/>
        </w:rPr>
        <w:t xml:space="preserve">Fewer </w:t>
      </w:r>
      <w:r w:rsidR="008F5DE7" w:rsidRPr="000F4AE5">
        <w:rPr>
          <w:color w:val="auto"/>
        </w:rPr>
        <w:t xml:space="preserve">Article 102 cases see the day (by virtue of the prioritisation principles) and as result only strong cases are taken by the authorities. Also Article 102 </w:t>
      </w:r>
      <w:proofErr w:type="gramStart"/>
      <w:r w:rsidR="008F5DE7" w:rsidRPr="000F4AE5">
        <w:rPr>
          <w:color w:val="auto"/>
        </w:rPr>
        <w:t>are</w:t>
      </w:r>
      <w:proofErr w:type="gramEnd"/>
      <w:r w:rsidR="008F5DE7" w:rsidRPr="000F4AE5">
        <w:rPr>
          <w:color w:val="auto"/>
        </w:rPr>
        <w:t xml:space="preserve"> based on past practices; whereas merger control is more speculative and therefore there is a</w:t>
      </w:r>
      <w:r w:rsidR="008F5DE7" w:rsidRPr="00E1198A">
        <w:t xml:space="preserve"> need for greater caution. </w:t>
      </w:r>
    </w:p>
    <w:sectPr w:rsidR="00A10775" w:rsidRPr="00E1198A" w:rsidSect="00D507E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EF" w:rsidRDefault="00F738EF">
      <w:r>
        <w:separator/>
      </w:r>
    </w:p>
  </w:endnote>
  <w:endnote w:type="continuationSeparator" w:id="0">
    <w:p w:rsidR="00F738EF" w:rsidRDefault="00F7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EF" w:rsidRDefault="00F738EF">
      <w:r>
        <w:separator/>
      </w:r>
    </w:p>
  </w:footnote>
  <w:footnote w:type="continuationSeparator" w:id="0">
    <w:p w:rsidR="00F738EF" w:rsidRDefault="00F73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80D792"/>
    <w:lvl w:ilvl="0">
      <w:start w:val="1"/>
      <w:numFmt w:val="decimal"/>
      <w:lvlText w:val="%1."/>
      <w:lvlJc w:val="left"/>
      <w:pPr>
        <w:tabs>
          <w:tab w:val="num" w:pos="1492"/>
        </w:tabs>
        <w:ind w:left="1492" w:hanging="360"/>
      </w:pPr>
    </w:lvl>
  </w:abstractNum>
  <w:abstractNum w:abstractNumId="1">
    <w:nsid w:val="FFFFFF7D"/>
    <w:multiLevelType w:val="singleLevel"/>
    <w:tmpl w:val="5060C522"/>
    <w:lvl w:ilvl="0">
      <w:start w:val="1"/>
      <w:numFmt w:val="decimal"/>
      <w:lvlText w:val="%1."/>
      <w:lvlJc w:val="left"/>
      <w:pPr>
        <w:tabs>
          <w:tab w:val="num" w:pos="1209"/>
        </w:tabs>
        <w:ind w:left="1209" w:hanging="360"/>
      </w:pPr>
    </w:lvl>
  </w:abstractNum>
  <w:abstractNum w:abstractNumId="2">
    <w:nsid w:val="FFFFFF7E"/>
    <w:multiLevelType w:val="singleLevel"/>
    <w:tmpl w:val="5A3628D8"/>
    <w:lvl w:ilvl="0">
      <w:start w:val="1"/>
      <w:numFmt w:val="decimal"/>
      <w:lvlText w:val="%1."/>
      <w:lvlJc w:val="left"/>
      <w:pPr>
        <w:tabs>
          <w:tab w:val="num" w:pos="926"/>
        </w:tabs>
        <w:ind w:left="926" w:hanging="360"/>
      </w:pPr>
    </w:lvl>
  </w:abstractNum>
  <w:abstractNum w:abstractNumId="3">
    <w:nsid w:val="FFFFFF7F"/>
    <w:multiLevelType w:val="singleLevel"/>
    <w:tmpl w:val="80C44720"/>
    <w:lvl w:ilvl="0">
      <w:start w:val="1"/>
      <w:numFmt w:val="decimal"/>
      <w:lvlText w:val="%1."/>
      <w:lvlJc w:val="left"/>
      <w:pPr>
        <w:tabs>
          <w:tab w:val="num" w:pos="643"/>
        </w:tabs>
        <w:ind w:left="643" w:hanging="360"/>
      </w:pPr>
    </w:lvl>
  </w:abstractNum>
  <w:abstractNum w:abstractNumId="4">
    <w:nsid w:val="FFFFFF80"/>
    <w:multiLevelType w:val="singleLevel"/>
    <w:tmpl w:val="729E8A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60FE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E803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9852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9C510A"/>
    <w:lvl w:ilvl="0">
      <w:start w:val="1"/>
      <w:numFmt w:val="decimal"/>
      <w:lvlText w:val="%1."/>
      <w:lvlJc w:val="left"/>
      <w:pPr>
        <w:tabs>
          <w:tab w:val="num" w:pos="360"/>
        </w:tabs>
        <w:ind w:left="360" w:hanging="360"/>
      </w:pPr>
    </w:lvl>
  </w:abstractNum>
  <w:abstractNum w:abstractNumId="9">
    <w:nsid w:val="FFFFFF89"/>
    <w:multiLevelType w:val="singleLevel"/>
    <w:tmpl w:val="581236CE"/>
    <w:lvl w:ilvl="0">
      <w:start w:val="1"/>
      <w:numFmt w:val="bullet"/>
      <w:lvlText w:val=""/>
      <w:lvlJc w:val="left"/>
      <w:pPr>
        <w:tabs>
          <w:tab w:val="num" w:pos="360"/>
        </w:tabs>
        <w:ind w:left="360" w:hanging="360"/>
      </w:pPr>
      <w:rPr>
        <w:rFonts w:ascii="Symbol" w:hAnsi="Symbol" w:hint="default"/>
      </w:rPr>
    </w:lvl>
  </w:abstractNum>
  <w:abstractNum w:abstractNumId="10">
    <w:nsid w:val="025E71FE"/>
    <w:multiLevelType w:val="multilevel"/>
    <w:tmpl w:val="CC6A8054"/>
    <w:lvl w:ilvl="0">
      <w:start w:val="1"/>
      <w:numFmt w:val="bullet"/>
      <w:lvlText w:val=""/>
      <w:lvlJc w:val="left"/>
      <w:pPr>
        <w:tabs>
          <w:tab w:val="num" w:pos="1210"/>
        </w:tabs>
        <w:ind w:left="1210" w:hanging="360"/>
      </w:pPr>
      <w:rPr>
        <w:rFonts w:ascii="Wingdings" w:hAnsi="Wingdings" w:hint="default"/>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1">
    <w:nsid w:val="079219DC"/>
    <w:multiLevelType w:val="hybridMultilevel"/>
    <w:tmpl w:val="A09AC192"/>
    <w:lvl w:ilvl="0" w:tplc="42F4F3E8">
      <w:start w:val="1"/>
      <w:numFmt w:val="bullet"/>
      <w:lvlText w:val=""/>
      <w:lvlJc w:val="left"/>
      <w:pPr>
        <w:tabs>
          <w:tab w:val="num" w:pos="425"/>
        </w:tabs>
        <w:ind w:left="425" w:hanging="425"/>
      </w:pPr>
      <w:rPr>
        <w:rFonts w:ascii="Symbol" w:hAnsi="Symbol" w:hint="default"/>
        <w:sz w:val="24"/>
        <w:szCs w:val="24"/>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07976F77"/>
    <w:multiLevelType w:val="multilevel"/>
    <w:tmpl w:val="A9E672EA"/>
    <w:lvl w:ilvl="0">
      <w:start w:val="1"/>
      <w:numFmt w:val="none"/>
      <w:lvlText w:val=""/>
      <w:lvlJc w:val="left"/>
      <w:pPr>
        <w:tabs>
          <w:tab w:val="num" w:pos="851"/>
        </w:tabs>
        <w:ind w:left="851" w:hanging="851"/>
      </w:pPr>
      <w:rPr>
        <w:rFonts w:hint="default"/>
      </w:rPr>
    </w:lvl>
    <w:lvl w:ilvl="1">
      <w:start w:val="1"/>
      <w:numFmt w:val="upperLetter"/>
      <w:pStyle w:val="AnnexeHeading"/>
      <w:lvlText w:val="%1%2"/>
      <w:lvlJc w:val="left"/>
      <w:pPr>
        <w:tabs>
          <w:tab w:val="num" w:pos="850"/>
        </w:tabs>
        <w:ind w:left="850" w:hanging="850"/>
      </w:pPr>
      <w:rPr>
        <w:rFonts w:ascii="Univers" w:hAnsi="Univers" w:hint="default"/>
        <w:b/>
        <w:i w:val="0"/>
      </w:rPr>
    </w:lvl>
    <w:lvl w:ilvl="2">
      <w:start w:val="1"/>
      <w:numFmt w:val="decimal"/>
      <w:pStyle w:val="Annexetext"/>
      <w:lvlText w:val="%2.%3"/>
      <w:lvlJc w:val="left"/>
      <w:pPr>
        <w:tabs>
          <w:tab w:val="num" w:pos="850"/>
        </w:tabs>
        <w:ind w:left="850" w:hanging="850"/>
      </w:pPr>
      <w:rPr>
        <w:rFonts w:hint="default"/>
      </w:rPr>
    </w:lvl>
    <w:lvl w:ilvl="3">
      <w:start w:val="1"/>
      <w:numFmt w:val="decimal"/>
      <w:lvlText w:val="%3"/>
      <w:lvlJc w:val="left"/>
      <w:pPr>
        <w:tabs>
          <w:tab w:val="num" w:pos="720"/>
        </w:tabs>
        <w:ind w:left="720" w:hanging="720"/>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3">
    <w:nsid w:val="07D06582"/>
    <w:multiLevelType w:val="hybridMultilevel"/>
    <w:tmpl w:val="CD967288"/>
    <w:lvl w:ilvl="0" w:tplc="DFFA019E">
      <w:start w:val="1"/>
      <w:numFmt w:val="bullet"/>
      <w:lvlText w:val="–"/>
      <w:lvlJc w:val="left"/>
      <w:pPr>
        <w:tabs>
          <w:tab w:val="num" w:pos="851"/>
        </w:tabs>
        <w:ind w:left="851" w:hanging="426"/>
      </w:pPr>
      <w:rPr>
        <w:rFonts w:ascii="Univers" w:hAnsi="Univer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2DA71B8"/>
    <w:multiLevelType w:val="hybridMultilevel"/>
    <w:tmpl w:val="E39A1490"/>
    <w:lvl w:ilvl="0" w:tplc="68C26430">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EF14D4"/>
    <w:multiLevelType w:val="multilevel"/>
    <w:tmpl w:val="0E287DBC"/>
    <w:lvl w:ilvl="0">
      <w:start w:val="1"/>
      <w:numFmt w:val="none"/>
      <w:suff w:val="nothing"/>
      <w:lvlText w:val="Annexe(s)"/>
      <w:lvlJc w:val="left"/>
      <w:pPr>
        <w:ind w:left="0" w:firstLine="0"/>
      </w:pPr>
      <w:rPr>
        <w:rFonts w:ascii="Univers" w:hAnsi="Univers" w:hint="default"/>
      </w:rPr>
    </w:lvl>
    <w:lvl w:ilvl="1">
      <w:start w:val="1"/>
      <w:numFmt w:val="decimal"/>
      <w:pStyle w:val="ChapterHeading"/>
      <w:isLgl/>
      <w:lvlText w:val="%2"/>
      <w:lvlJc w:val="left"/>
      <w:pPr>
        <w:tabs>
          <w:tab w:val="num" w:pos="850"/>
        </w:tabs>
        <w:ind w:left="850" w:hanging="850"/>
      </w:pPr>
      <w:rPr>
        <w:rFonts w:hint="default"/>
      </w:rPr>
    </w:lvl>
    <w:lvl w:ilvl="2">
      <w:start w:val="1"/>
      <w:numFmt w:val="decimal"/>
      <w:pStyle w:val="Chaptertext"/>
      <w:lvlText w:val="%2.%3"/>
      <w:lvlJc w:val="left"/>
      <w:pPr>
        <w:tabs>
          <w:tab w:val="num" w:pos="851"/>
        </w:tabs>
        <w:ind w:left="851" w:hanging="851"/>
      </w:pPr>
      <w:rPr>
        <w:rFonts w:ascii="Univers" w:hAnsi="Univers" w:hint="default"/>
        <w:b w:val="0"/>
        <w:i w:val="0"/>
        <w:sz w:val="24"/>
        <w:szCs w:val="24"/>
      </w:rPr>
    </w:lvl>
    <w:lvl w:ilvl="3">
      <w:start w:val="1"/>
      <w:numFmt w:val="none"/>
      <w:lvlText w:val="%1.%2.%3.%4."/>
      <w:lvlJc w:val="left"/>
      <w:pPr>
        <w:tabs>
          <w:tab w:val="num" w:pos="1440"/>
        </w:tabs>
        <w:ind w:left="1368" w:hanging="648"/>
      </w:pPr>
      <w:rPr>
        <w:rFonts w:hint="default"/>
      </w:rPr>
    </w:lvl>
    <w:lvl w:ilvl="4">
      <w:start w:val="1"/>
      <w:numFmt w:val="none"/>
      <w:lvlText w:val="%1.%2.%3.%4.%5."/>
      <w:lvlJc w:val="left"/>
      <w:pPr>
        <w:tabs>
          <w:tab w:val="num" w:pos="2160"/>
        </w:tabs>
        <w:ind w:left="1872" w:hanging="792"/>
      </w:pPr>
      <w:rPr>
        <w:rFonts w:hint="default"/>
      </w:rPr>
    </w:lvl>
    <w:lvl w:ilvl="5">
      <w:start w:val="1"/>
      <w:numFmt w:val="none"/>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6">
    <w:nsid w:val="18535509"/>
    <w:multiLevelType w:val="hybridMultilevel"/>
    <w:tmpl w:val="28989B00"/>
    <w:lvl w:ilvl="0" w:tplc="DFB01A8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ACC4BD4"/>
    <w:multiLevelType w:val="hybridMultilevel"/>
    <w:tmpl w:val="76FAF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E5E2186"/>
    <w:multiLevelType w:val="multilevel"/>
    <w:tmpl w:val="94948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6861F9E"/>
    <w:multiLevelType w:val="multilevel"/>
    <w:tmpl w:val="030052AE"/>
    <w:lvl w:ilvl="0">
      <w:start w:val="1"/>
      <w:numFmt w:val="none"/>
      <w:pStyle w:val="Annexes"/>
      <w:suff w:val="nothing"/>
      <w:lvlText w:val="Annexe(s)"/>
      <w:lvlJc w:val="left"/>
      <w:pPr>
        <w:ind w:left="0" w:firstLine="0"/>
      </w:pPr>
      <w:rPr>
        <w:rFonts w:ascii="Univers" w:hAnsi="Univers" w:hint="default"/>
      </w:rPr>
    </w:lvl>
    <w:lvl w:ilvl="1">
      <w:start w:val="1"/>
      <w:numFmt w:val="decimal"/>
      <w:isLgl/>
      <w:lvlText w:val="%2"/>
      <w:lvlJc w:val="left"/>
      <w:pPr>
        <w:tabs>
          <w:tab w:val="num" w:pos="850"/>
        </w:tabs>
        <w:ind w:left="850" w:hanging="850"/>
      </w:pPr>
      <w:rPr>
        <w:rFonts w:hint="default"/>
      </w:rPr>
    </w:lvl>
    <w:lvl w:ilvl="2">
      <w:start w:val="1"/>
      <w:numFmt w:val="decimal"/>
      <w:lvlText w:val="%2.%3"/>
      <w:lvlJc w:val="left"/>
      <w:pPr>
        <w:tabs>
          <w:tab w:val="num" w:pos="851"/>
        </w:tabs>
        <w:ind w:left="851" w:hanging="851"/>
      </w:pPr>
      <w:rPr>
        <w:rFonts w:ascii="Univers" w:hAnsi="Univers" w:hint="default"/>
        <w:b w:val="0"/>
        <w:i w:val="0"/>
        <w:sz w:val="24"/>
        <w:szCs w:val="24"/>
      </w:rPr>
    </w:lvl>
    <w:lvl w:ilvl="3">
      <w:start w:val="1"/>
      <w:numFmt w:val="none"/>
      <w:lvlText w:val="%1.%2.%3.%4."/>
      <w:lvlJc w:val="left"/>
      <w:pPr>
        <w:tabs>
          <w:tab w:val="num" w:pos="1440"/>
        </w:tabs>
        <w:ind w:left="1368" w:hanging="648"/>
      </w:pPr>
      <w:rPr>
        <w:rFonts w:hint="default"/>
      </w:rPr>
    </w:lvl>
    <w:lvl w:ilvl="4">
      <w:start w:val="1"/>
      <w:numFmt w:val="none"/>
      <w:lvlText w:val="%1.%2.%3.%4.%5."/>
      <w:lvlJc w:val="left"/>
      <w:pPr>
        <w:tabs>
          <w:tab w:val="num" w:pos="2160"/>
        </w:tabs>
        <w:ind w:left="1872" w:hanging="792"/>
      </w:pPr>
      <w:rPr>
        <w:rFonts w:hint="default"/>
      </w:rPr>
    </w:lvl>
    <w:lvl w:ilvl="5">
      <w:start w:val="1"/>
      <w:numFmt w:val="none"/>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nsid w:val="2843421F"/>
    <w:multiLevelType w:val="hybridMultilevel"/>
    <w:tmpl w:val="6F1C05B6"/>
    <w:lvl w:ilvl="0" w:tplc="D3D06992">
      <w:start w:val="1"/>
      <w:numFmt w:val="bullet"/>
      <w:pStyle w:val="Bullet2"/>
      <w:lvlText w:val="-"/>
      <w:lvlJc w:val="left"/>
      <w:pPr>
        <w:tabs>
          <w:tab w:val="num" w:pos="1701"/>
        </w:tabs>
        <w:ind w:left="1701" w:hanging="425"/>
      </w:pPr>
      <w:rPr>
        <w:rFonts w:ascii="Univers" w:hAnsi="Univer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B760A3F"/>
    <w:multiLevelType w:val="multilevel"/>
    <w:tmpl w:val="42ECD988"/>
    <w:lvl w:ilvl="0">
      <w:start w:val="1"/>
      <w:numFmt w:val="bullet"/>
      <w:lvlText w:val=""/>
      <w:lvlJc w:val="left"/>
      <w:pPr>
        <w:tabs>
          <w:tab w:val="num" w:pos="425"/>
        </w:tabs>
        <w:ind w:left="425" w:hanging="425"/>
      </w:pPr>
      <w:rPr>
        <w:rFonts w:ascii="Symbol" w:hAnsi="Symbol" w:hint="default"/>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2">
    <w:nsid w:val="326336A8"/>
    <w:multiLevelType w:val="hybridMultilevel"/>
    <w:tmpl w:val="F9142D84"/>
    <w:lvl w:ilvl="0" w:tplc="DFFA019E">
      <w:start w:val="1"/>
      <w:numFmt w:val="bullet"/>
      <w:lvlText w:val="–"/>
      <w:lvlJc w:val="left"/>
      <w:pPr>
        <w:tabs>
          <w:tab w:val="num" w:pos="426"/>
        </w:tabs>
        <w:ind w:left="426" w:hanging="426"/>
      </w:pPr>
      <w:rPr>
        <w:rFonts w:ascii="Univers" w:hAnsi="Univers" w:hint="default"/>
        <w:sz w:val="24"/>
        <w:szCs w:val="24"/>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3">
    <w:nsid w:val="360803A6"/>
    <w:multiLevelType w:val="hybridMultilevel"/>
    <w:tmpl w:val="5636D590"/>
    <w:lvl w:ilvl="0" w:tplc="D846A990">
      <w:start w:val="1"/>
      <w:numFmt w:val="bullet"/>
      <w:lvlText w:val="–"/>
      <w:lvlJc w:val="left"/>
      <w:pPr>
        <w:tabs>
          <w:tab w:val="num" w:pos="851"/>
        </w:tabs>
        <w:ind w:left="851" w:hanging="851"/>
      </w:pPr>
      <w:rPr>
        <w:rFonts w:ascii="Univers" w:hAnsi="Univer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4A1E80"/>
    <w:multiLevelType w:val="hybridMultilevel"/>
    <w:tmpl w:val="71649C54"/>
    <w:lvl w:ilvl="0" w:tplc="613A63AE">
      <w:start w:val="1"/>
      <w:numFmt w:val="bullet"/>
      <w:lvlText w:val="–"/>
      <w:lvlJc w:val="left"/>
      <w:pPr>
        <w:tabs>
          <w:tab w:val="num" w:pos="851"/>
        </w:tabs>
        <w:ind w:left="851" w:hanging="426"/>
      </w:pPr>
      <w:rPr>
        <w:rFonts w:ascii="Univers" w:hAnsi="Univer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D80F63"/>
    <w:multiLevelType w:val="multilevel"/>
    <w:tmpl w:val="F6E074D4"/>
    <w:lvl w:ilvl="0">
      <w:start w:val="1"/>
      <w:numFmt w:val="bullet"/>
      <w:lvlText w:val="¯"/>
      <w:lvlJc w:val="left"/>
      <w:pPr>
        <w:tabs>
          <w:tab w:val="num" w:pos="425"/>
        </w:tabs>
        <w:ind w:left="425" w:hanging="425"/>
      </w:pPr>
      <w:rPr>
        <w:rFonts w:ascii="Univers" w:hAnsi="Univer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3C16534F"/>
    <w:multiLevelType w:val="hybridMultilevel"/>
    <w:tmpl w:val="84180CE2"/>
    <w:lvl w:ilvl="0" w:tplc="C2C809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2F56D6E"/>
    <w:multiLevelType w:val="hybridMultilevel"/>
    <w:tmpl w:val="C354E4D0"/>
    <w:lvl w:ilvl="0" w:tplc="10585372">
      <w:start w:val="1"/>
      <w:numFmt w:val="bullet"/>
      <w:lvlText w:val="–"/>
      <w:lvlJc w:val="left"/>
      <w:pPr>
        <w:tabs>
          <w:tab w:val="num" w:pos="426"/>
        </w:tabs>
        <w:ind w:left="426" w:hanging="426"/>
      </w:pPr>
      <w:rPr>
        <w:rFonts w:ascii="Univers" w:hAnsi="Univers" w:hint="default"/>
        <w:sz w:val="24"/>
        <w:szCs w:val="24"/>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8">
    <w:nsid w:val="4B1A595C"/>
    <w:multiLevelType w:val="hybridMultilevel"/>
    <w:tmpl w:val="36B05BB2"/>
    <w:lvl w:ilvl="0" w:tplc="DAB86522">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D32D07"/>
    <w:multiLevelType w:val="hybridMultilevel"/>
    <w:tmpl w:val="A0F442EC"/>
    <w:lvl w:ilvl="0" w:tplc="5840E19C">
      <w:start w:val="1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4ED45847"/>
    <w:multiLevelType w:val="multilevel"/>
    <w:tmpl w:val="43406510"/>
    <w:lvl w:ilvl="0">
      <w:start w:val="1"/>
      <w:numFmt w:val="bullet"/>
      <w:lvlText w:val="–"/>
      <w:lvlJc w:val="left"/>
      <w:pPr>
        <w:tabs>
          <w:tab w:val="num" w:pos="851"/>
        </w:tabs>
        <w:ind w:left="851" w:hanging="426"/>
      </w:pPr>
      <w:rPr>
        <w:rFonts w:ascii="Univers" w:hAnsi="Univers" w:hint="default"/>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1">
    <w:nsid w:val="51AC693E"/>
    <w:multiLevelType w:val="hybridMultilevel"/>
    <w:tmpl w:val="61B86FC8"/>
    <w:lvl w:ilvl="0" w:tplc="B0CAD4AC">
      <w:start w:val="1"/>
      <w:numFmt w:val="bullet"/>
      <w:pStyle w:val="Bullet1"/>
      <w:lvlText w:val=""/>
      <w:lvlJc w:val="left"/>
      <w:pPr>
        <w:tabs>
          <w:tab w:val="num" w:pos="1276"/>
        </w:tabs>
        <w:ind w:left="1276" w:hanging="425"/>
      </w:pPr>
      <w:rPr>
        <w:rFonts w:ascii="Symbol" w:hAnsi="Symbol" w:hint="default"/>
        <w:color w:val="auto"/>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2">
    <w:nsid w:val="5403427D"/>
    <w:multiLevelType w:val="multilevel"/>
    <w:tmpl w:val="C354E4D0"/>
    <w:lvl w:ilvl="0">
      <w:start w:val="1"/>
      <w:numFmt w:val="bullet"/>
      <w:lvlText w:val="–"/>
      <w:lvlJc w:val="left"/>
      <w:pPr>
        <w:tabs>
          <w:tab w:val="num" w:pos="426"/>
        </w:tabs>
        <w:ind w:left="426" w:hanging="426"/>
      </w:pPr>
      <w:rPr>
        <w:rFonts w:ascii="Univers" w:hAnsi="Univers" w:hint="default"/>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3">
    <w:nsid w:val="55ED2975"/>
    <w:multiLevelType w:val="hybridMultilevel"/>
    <w:tmpl w:val="6F9ADD3A"/>
    <w:lvl w:ilvl="0" w:tplc="7792B15C">
      <w:start w:val="1"/>
      <w:numFmt w:val="bulle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7314380"/>
    <w:multiLevelType w:val="multilevel"/>
    <w:tmpl w:val="F9142D84"/>
    <w:lvl w:ilvl="0">
      <w:start w:val="1"/>
      <w:numFmt w:val="bullet"/>
      <w:lvlText w:val="–"/>
      <w:lvlJc w:val="left"/>
      <w:pPr>
        <w:tabs>
          <w:tab w:val="num" w:pos="426"/>
        </w:tabs>
        <w:ind w:left="426" w:hanging="426"/>
      </w:pPr>
      <w:rPr>
        <w:rFonts w:ascii="Univers" w:hAnsi="Univers" w:hint="default"/>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5">
    <w:nsid w:val="5B0470E5"/>
    <w:multiLevelType w:val="multilevel"/>
    <w:tmpl w:val="E39A1490"/>
    <w:lvl w:ilvl="0">
      <w:start w:val="1"/>
      <w:numFmt w:val="bullet"/>
      <w:lvlText w:val=""/>
      <w:lvlJc w:val="left"/>
      <w:pPr>
        <w:tabs>
          <w:tab w:val="num" w:pos="425"/>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CFE3DDA"/>
    <w:multiLevelType w:val="hybridMultilevel"/>
    <w:tmpl w:val="42ECD988"/>
    <w:lvl w:ilvl="0" w:tplc="43962B62">
      <w:start w:val="1"/>
      <w:numFmt w:val="bullet"/>
      <w:lvlText w:val=""/>
      <w:lvlJc w:val="left"/>
      <w:pPr>
        <w:tabs>
          <w:tab w:val="num" w:pos="425"/>
        </w:tabs>
        <w:ind w:left="425" w:hanging="425"/>
      </w:pPr>
      <w:rPr>
        <w:rFonts w:ascii="Symbol" w:hAnsi="Symbol" w:hint="default"/>
        <w:sz w:val="24"/>
        <w:szCs w:val="24"/>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7">
    <w:nsid w:val="5E8F4F46"/>
    <w:multiLevelType w:val="hybridMultilevel"/>
    <w:tmpl w:val="CC6A8054"/>
    <w:lvl w:ilvl="0" w:tplc="04090005">
      <w:start w:val="1"/>
      <w:numFmt w:val="bullet"/>
      <w:lvlText w:val=""/>
      <w:lvlJc w:val="left"/>
      <w:pPr>
        <w:tabs>
          <w:tab w:val="num" w:pos="1210"/>
        </w:tabs>
        <w:ind w:left="1210" w:hanging="360"/>
      </w:pPr>
      <w:rPr>
        <w:rFonts w:ascii="Wingdings" w:hAnsi="Wingdings" w:hint="default"/>
        <w:sz w:val="24"/>
        <w:szCs w:val="24"/>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38">
    <w:nsid w:val="65041EBD"/>
    <w:multiLevelType w:val="multilevel"/>
    <w:tmpl w:val="6862EF98"/>
    <w:lvl w:ilvl="0">
      <w:start w:val="1"/>
      <w:numFmt w:val="bullet"/>
      <w:lvlText w:val="–"/>
      <w:lvlJc w:val="left"/>
      <w:pPr>
        <w:tabs>
          <w:tab w:val="num" w:pos="1276"/>
        </w:tabs>
        <w:ind w:left="1276" w:hanging="426"/>
      </w:pPr>
      <w:rPr>
        <w:rFonts w:ascii="Univers" w:hAnsi="Univers" w:hint="default"/>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39">
    <w:nsid w:val="666D2B5C"/>
    <w:multiLevelType w:val="hybridMultilevel"/>
    <w:tmpl w:val="64E0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B01A72"/>
    <w:multiLevelType w:val="multilevel"/>
    <w:tmpl w:val="A09AC192"/>
    <w:lvl w:ilvl="0">
      <w:start w:val="1"/>
      <w:numFmt w:val="bullet"/>
      <w:lvlText w:val=""/>
      <w:lvlJc w:val="left"/>
      <w:pPr>
        <w:tabs>
          <w:tab w:val="num" w:pos="425"/>
        </w:tabs>
        <w:ind w:left="425" w:hanging="425"/>
      </w:pPr>
      <w:rPr>
        <w:rFonts w:ascii="Symbol" w:hAnsi="Symbol" w:hint="default"/>
        <w:sz w:val="24"/>
        <w:szCs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41">
    <w:nsid w:val="718C541A"/>
    <w:multiLevelType w:val="hybridMultilevel"/>
    <w:tmpl w:val="43406510"/>
    <w:lvl w:ilvl="0" w:tplc="653E6E3A">
      <w:start w:val="1"/>
      <w:numFmt w:val="bullet"/>
      <w:lvlText w:val="–"/>
      <w:lvlJc w:val="left"/>
      <w:pPr>
        <w:tabs>
          <w:tab w:val="num" w:pos="851"/>
        </w:tabs>
        <w:ind w:left="851" w:hanging="426"/>
      </w:pPr>
      <w:rPr>
        <w:rFonts w:ascii="Univers" w:hAnsi="Univers" w:hint="default"/>
        <w:sz w:val="24"/>
        <w:szCs w:val="24"/>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42">
    <w:nsid w:val="721264D1"/>
    <w:multiLevelType w:val="hybridMultilevel"/>
    <w:tmpl w:val="F6E074D4"/>
    <w:lvl w:ilvl="0" w:tplc="9306D1CA">
      <w:start w:val="1"/>
      <w:numFmt w:val="bullet"/>
      <w:lvlText w:val="¯"/>
      <w:lvlJc w:val="left"/>
      <w:pPr>
        <w:tabs>
          <w:tab w:val="num" w:pos="425"/>
        </w:tabs>
        <w:ind w:left="425" w:hanging="425"/>
      </w:pPr>
      <w:rPr>
        <w:rFonts w:ascii="Univers" w:hAnsi="Univer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3170941"/>
    <w:multiLevelType w:val="hybridMultilevel"/>
    <w:tmpl w:val="6862EF98"/>
    <w:lvl w:ilvl="0" w:tplc="DFFA019E">
      <w:start w:val="1"/>
      <w:numFmt w:val="bullet"/>
      <w:lvlText w:val="–"/>
      <w:lvlJc w:val="left"/>
      <w:pPr>
        <w:tabs>
          <w:tab w:val="num" w:pos="1276"/>
        </w:tabs>
        <w:ind w:left="1276" w:hanging="426"/>
      </w:pPr>
      <w:rPr>
        <w:rFonts w:ascii="Univers" w:hAnsi="Univers" w:hint="default"/>
        <w:sz w:val="24"/>
        <w:szCs w:val="24"/>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5"/>
  </w:num>
  <w:num w:numId="13">
    <w:abstractNumId w:val="33"/>
  </w:num>
  <w:num w:numId="14">
    <w:abstractNumId w:val="42"/>
  </w:num>
  <w:num w:numId="15">
    <w:abstractNumId w:val="25"/>
  </w:num>
  <w:num w:numId="16">
    <w:abstractNumId w:val="13"/>
  </w:num>
  <w:num w:numId="17">
    <w:abstractNumId w:val="43"/>
  </w:num>
  <w:num w:numId="18">
    <w:abstractNumId w:val="38"/>
  </w:num>
  <w:num w:numId="19">
    <w:abstractNumId w:val="37"/>
  </w:num>
  <w:num w:numId="20">
    <w:abstractNumId w:val="10"/>
  </w:num>
  <w:num w:numId="21">
    <w:abstractNumId w:val="41"/>
  </w:num>
  <w:num w:numId="22">
    <w:abstractNumId w:val="30"/>
  </w:num>
  <w:num w:numId="23">
    <w:abstractNumId w:val="36"/>
  </w:num>
  <w:num w:numId="24">
    <w:abstractNumId w:val="21"/>
  </w:num>
  <w:num w:numId="25">
    <w:abstractNumId w:val="22"/>
  </w:num>
  <w:num w:numId="26">
    <w:abstractNumId w:val="34"/>
  </w:num>
  <w:num w:numId="27">
    <w:abstractNumId w:val="27"/>
  </w:num>
  <w:num w:numId="28">
    <w:abstractNumId w:val="32"/>
  </w:num>
  <w:num w:numId="29">
    <w:abstractNumId w:val="11"/>
  </w:num>
  <w:num w:numId="30">
    <w:abstractNumId w:val="40"/>
  </w:num>
  <w:num w:numId="31">
    <w:abstractNumId w:val="24"/>
  </w:num>
  <w:num w:numId="32">
    <w:abstractNumId w:val="23"/>
  </w:num>
  <w:num w:numId="33">
    <w:abstractNumId w:val="15"/>
  </w:num>
  <w:num w:numId="34">
    <w:abstractNumId w:val="12"/>
  </w:num>
  <w:num w:numId="35">
    <w:abstractNumId w:val="15"/>
  </w:num>
  <w:num w:numId="36">
    <w:abstractNumId w:val="12"/>
  </w:num>
  <w:num w:numId="37">
    <w:abstractNumId w:val="19"/>
  </w:num>
  <w:num w:numId="38">
    <w:abstractNumId w:val="31"/>
  </w:num>
  <w:num w:numId="39">
    <w:abstractNumId w:val="20"/>
  </w:num>
  <w:num w:numId="40">
    <w:abstractNumId w:val="39"/>
  </w:num>
  <w:num w:numId="41">
    <w:abstractNumId w:val="17"/>
  </w:num>
  <w:num w:numId="42">
    <w:abstractNumId w:val="29"/>
  </w:num>
  <w:num w:numId="43">
    <w:abstractNumId w:val="26"/>
  </w:num>
  <w:num w:numId="44">
    <w:abstractNumId w:val="16"/>
  </w:num>
  <w:num w:numId="45">
    <w:abstractNumId w:val="28"/>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84"/>
    <w:rsid w:val="00015978"/>
    <w:rsid w:val="00030C98"/>
    <w:rsid w:val="000D1259"/>
    <w:rsid w:val="000D7DE8"/>
    <w:rsid w:val="000E7BAB"/>
    <w:rsid w:val="000F4AE5"/>
    <w:rsid w:val="001047C0"/>
    <w:rsid w:val="00115288"/>
    <w:rsid w:val="00131481"/>
    <w:rsid w:val="00141C39"/>
    <w:rsid w:val="00191816"/>
    <w:rsid w:val="001A64B1"/>
    <w:rsid w:val="00242823"/>
    <w:rsid w:val="00270430"/>
    <w:rsid w:val="00284F6A"/>
    <w:rsid w:val="002F1B76"/>
    <w:rsid w:val="00306E4F"/>
    <w:rsid w:val="00317F1C"/>
    <w:rsid w:val="003C0784"/>
    <w:rsid w:val="003E759A"/>
    <w:rsid w:val="004031F2"/>
    <w:rsid w:val="00431F11"/>
    <w:rsid w:val="004A7843"/>
    <w:rsid w:val="004C4C1F"/>
    <w:rsid w:val="004F188C"/>
    <w:rsid w:val="00534A52"/>
    <w:rsid w:val="00576694"/>
    <w:rsid w:val="00587B2E"/>
    <w:rsid w:val="00591A25"/>
    <w:rsid w:val="005A3478"/>
    <w:rsid w:val="005B45A3"/>
    <w:rsid w:val="005B634F"/>
    <w:rsid w:val="005F2B93"/>
    <w:rsid w:val="005F6389"/>
    <w:rsid w:val="005F7B5B"/>
    <w:rsid w:val="00622249"/>
    <w:rsid w:val="00635B7A"/>
    <w:rsid w:val="00656D9F"/>
    <w:rsid w:val="00677C4F"/>
    <w:rsid w:val="00690092"/>
    <w:rsid w:val="006A5752"/>
    <w:rsid w:val="006A7CC8"/>
    <w:rsid w:val="006B2F12"/>
    <w:rsid w:val="006B551D"/>
    <w:rsid w:val="006D14E4"/>
    <w:rsid w:val="006F5860"/>
    <w:rsid w:val="007035D3"/>
    <w:rsid w:val="007105B1"/>
    <w:rsid w:val="007121DE"/>
    <w:rsid w:val="00735BA9"/>
    <w:rsid w:val="00755503"/>
    <w:rsid w:val="00785FA2"/>
    <w:rsid w:val="00795D9E"/>
    <w:rsid w:val="007C59B5"/>
    <w:rsid w:val="007F060F"/>
    <w:rsid w:val="008159BB"/>
    <w:rsid w:val="00841506"/>
    <w:rsid w:val="008452FC"/>
    <w:rsid w:val="008456CC"/>
    <w:rsid w:val="008462A4"/>
    <w:rsid w:val="008557A8"/>
    <w:rsid w:val="00862D54"/>
    <w:rsid w:val="0086575E"/>
    <w:rsid w:val="00887549"/>
    <w:rsid w:val="008C2864"/>
    <w:rsid w:val="008F5DE7"/>
    <w:rsid w:val="00924C14"/>
    <w:rsid w:val="009505B9"/>
    <w:rsid w:val="00972848"/>
    <w:rsid w:val="00986ACB"/>
    <w:rsid w:val="009B3404"/>
    <w:rsid w:val="009C1A91"/>
    <w:rsid w:val="009C4724"/>
    <w:rsid w:val="009C6CF1"/>
    <w:rsid w:val="009D5206"/>
    <w:rsid w:val="009D7B90"/>
    <w:rsid w:val="009F07A7"/>
    <w:rsid w:val="00A10775"/>
    <w:rsid w:val="00A121A8"/>
    <w:rsid w:val="00A309A1"/>
    <w:rsid w:val="00A448BD"/>
    <w:rsid w:val="00A67431"/>
    <w:rsid w:val="00A75AB9"/>
    <w:rsid w:val="00A837E6"/>
    <w:rsid w:val="00AA379C"/>
    <w:rsid w:val="00AB34C1"/>
    <w:rsid w:val="00AB4F86"/>
    <w:rsid w:val="00AC4353"/>
    <w:rsid w:val="00AE2EE8"/>
    <w:rsid w:val="00B161A1"/>
    <w:rsid w:val="00B42D30"/>
    <w:rsid w:val="00B653EE"/>
    <w:rsid w:val="00BB2B1C"/>
    <w:rsid w:val="00BE6220"/>
    <w:rsid w:val="00BF45B5"/>
    <w:rsid w:val="00C0381E"/>
    <w:rsid w:val="00C038F2"/>
    <w:rsid w:val="00C518F0"/>
    <w:rsid w:val="00C57C07"/>
    <w:rsid w:val="00C62164"/>
    <w:rsid w:val="00C64BE5"/>
    <w:rsid w:val="00C931A9"/>
    <w:rsid w:val="00CD023C"/>
    <w:rsid w:val="00D11439"/>
    <w:rsid w:val="00D25FAF"/>
    <w:rsid w:val="00D46411"/>
    <w:rsid w:val="00D507ED"/>
    <w:rsid w:val="00D557C3"/>
    <w:rsid w:val="00D675AA"/>
    <w:rsid w:val="00D77392"/>
    <w:rsid w:val="00D92FF3"/>
    <w:rsid w:val="00DA4C0D"/>
    <w:rsid w:val="00DB4222"/>
    <w:rsid w:val="00DD33C4"/>
    <w:rsid w:val="00DD5A09"/>
    <w:rsid w:val="00E03CD5"/>
    <w:rsid w:val="00E055E0"/>
    <w:rsid w:val="00E1198A"/>
    <w:rsid w:val="00E83359"/>
    <w:rsid w:val="00EF0FD7"/>
    <w:rsid w:val="00F60444"/>
    <w:rsid w:val="00F65FF7"/>
    <w:rsid w:val="00F738EF"/>
    <w:rsid w:val="00F7740F"/>
    <w:rsid w:val="00F95AF5"/>
    <w:rsid w:val="00FB5C8F"/>
    <w:rsid w:val="00FC5263"/>
    <w:rsid w:val="00FD02C7"/>
    <w:rsid w:val="00FE04BC"/>
    <w:rsid w:val="00FE7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6CF1"/>
    <w:pPr>
      <w:spacing w:after="280" w:line="288" w:lineRule="auto"/>
    </w:pPr>
    <w:rPr>
      <w:rFonts w:ascii="Univers" w:hAnsi="Univers"/>
      <w:sz w:val="24"/>
      <w:szCs w:val="24"/>
      <w:lang w:eastAsia="en-US"/>
    </w:rPr>
  </w:style>
  <w:style w:type="paragraph" w:styleId="Heading1">
    <w:name w:val="heading 1"/>
    <w:basedOn w:val="Normal"/>
    <w:next w:val="Normal"/>
    <w:qFormat/>
    <w:rsid w:val="009C6CF1"/>
    <w:pPr>
      <w:keepNext/>
      <w:outlineLvl w:val="0"/>
    </w:pPr>
    <w:rPr>
      <w:rFonts w:cs="Arial"/>
      <w:b/>
      <w:bCs/>
      <w:caps/>
      <w:sz w:val="28"/>
      <w:szCs w:val="32"/>
    </w:rPr>
  </w:style>
  <w:style w:type="paragraph" w:styleId="Heading2">
    <w:name w:val="heading 2"/>
    <w:basedOn w:val="Heading1"/>
    <w:next w:val="Normal"/>
    <w:qFormat/>
    <w:rsid w:val="009C6CF1"/>
    <w:pPr>
      <w:outlineLvl w:val="1"/>
    </w:pPr>
    <w:rPr>
      <w:b w:val="0"/>
      <w:bCs w:val="0"/>
      <w:iCs/>
      <w:caps w:val="0"/>
      <w:szCs w:val="28"/>
      <w:u w:val="single"/>
    </w:rPr>
  </w:style>
  <w:style w:type="paragraph" w:styleId="Heading3">
    <w:name w:val="heading 3"/>
    <w:basedOn w:val="Heading2"/>
    <w:next w:val="Normal"/>
    <w:qFormat/>
    <w:rsid w:val="009C6CF1"/>
    <w:pPr>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6CF1"/>
    <w:pPr>
      <w:tabs>
        <w:tab w:val="center" w:pos="4320"/>
        <w:tab w:val="right" w:pos="8640"/>
      </w:tabs>
    </w:pPr>
  </w:style>
  <w:style w:type="paragraph" w:styleId="Footer">
    <w:name w:val="footer"/>
    <w:basedOn w:val="Normal"/>
    <w:rsid w:val="009C6CF1"/>
    <w:pPr>
      <w:tabs>
        <w:tab w:val="center" w:pos="4320"/>
        <w:tab w:val="right" w:pos="8640"/>
      </w:tabs>
    </w:pPr>
  </w:style>
  <w:style w:type="paragraph" w:customStyle="1" w:styleId="TableUnivers">
    <w:name w:val="Table Univers"/>
    <w:basedOn w:val="Normal"/>
    <w:rsid w:val="009C6CF1"/>
    <w:rPr>
      <w:szCs w:val="22"/>
    </w:rPr>
  </w:style>
  <w:style w:type="table" w:styleId="TableGrid">
    <w:name w:val="Table Grid"/>
    <w:basedOn w:val="TableNormal"/>
    <w:rsid w:val="009C6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FTClosing">
    <w:name w:val="OFT Closing"/>
    <w:basedOn w:val="Signature"/>
    <w:rsid w:val="009C6CF1"/>
    <w:pPr>
      <w:ind w:left="0"/>
    </w:pPr>
    <w:rPr>
      <w:sz w:val="20"/>
      <w:szCs w:val="20"/>
    </w:rPr>
  </w:style>
  <w:style w:type="paragraph" w:styleId="Signature">
    <w:name w:val="Signature"/>
    <w:basedOn w:val="Normal"/>
    <w:rsid w:val="009C6CF1"/>
    <w:pPr>
      <w:ind w:left="4252"/>
    </w:pPr>
  </w:style>
  <w:style w:type="paragraph" w:customStyle="1" w:styleId="ChapterHeading">
    <w:name w:val="Chapter Heading"/>
    <w:basedOn w:val="Normal"/>
    <w:next w:val="Normal"/>
    <w:rsid w:val="009C6CF1"/>
    <w:pPr>
      <w:keepNext/>
      <w:pageBreakBefore/>
      <w:numPr>
        <w:ilvl w:val="1"/>
        <w:numId w:val="35"/>
      </w:numPr>
      <w:outlineLvl w:val="1"/>
    </w:pPr>
    <w:rPr>
      <w:rFonts w:cs="Arial"/>
      <w:b/>
      <w:caps/>
      <w:kern w:val="32"/>
      <w:sz w:val="28"/>
      <w:szCs w:val="28"/>
    </w:rPr>
  </w:style>
  <w:style w:type="paragraph" w:customStyle="1" w:styleId="AnnexeHeading">
    <w:name w:val="Annexe Heading"/>
    <w:basedOn w:val="ChapterHeading"/>
    <w:next w:val="Normal"/>
    <w:rsid w:val="009C6CF1"/>
    <w:pPr>
      <w:numPr>
        <w:numId w:val="36"/>
      </w:numPr>
    </w:pPr>
  </w:style>
  <w:style w:type="paragraph" w:customStyle="1" w:styleId="Chaptertext">
    <w:name w:val="Chapter text"/>
    <w:basedOn w:val="Normal"/>
    <w:rsid w:val="009C6CF1"/>
    <w:pPr>
      <w:numPr>
        <w:ilvl w:val="2"/>
        <w:numId w:val="35"/>
      </w:numPr>
      <w:outlineLvl w:val="2"/>
    </w:pPr>
  </w:style>
  <w:style w:type="paragraph" w:customStyle="1" w:styleId="Annexetext">
    <w:name w:val="Annexe text"/>
    <w:basedOn w:val="Chaptertext"/>
    <w:rsid w:val="009C6CF1"/>
    <w:pPr>
      <w:numPr>
        <w:numId w:val="36"/>
      </w:numPr>
    </w:pPr>
  </w:style>
  <w:style w:type="paragraph" w:customStyle="1" w:styleId="Annexes">
    <w:name w:val="Annexe(s)"/>
    <w:basedOn w:val="Normal"/>
    <w:next w:val="AnnexeHeading"/>
    <w:rsid w:val="009C6CF1"/>
    <w:pPr>
      <w:pageBreakBefore/>
      <w:numPr>
        <w:numId w:val="37"/>
      </w:numPr>
      <w:pBdr>
        <w:bottom w:val="single" w:sz="4" w:space="14" w:color="auto"/>
      </w:pBdr>
      <w:outlineLvl w:val="0"/>
    </w:pPr>
    <w:rPr>
      <w:rFonts w:cs="Arial"/>
      <w:b/>
      <w:bCs/>
      <w:caps/>
      <w:kern w:val="32"/>
      <w:sz w:val="96"/>
      <w:szCs w:val="96"/>
    </w:rPr>
  </w:style>
  <w:style w:type="paragraph" w:styleId="BodyText">
    <w:name w:val="Body Text"/>
    <w:basedOn w:val="Normal"/>
    <w:rsid w:val="009C6CF1"/>
    <w:rPr>
      <w:b/>
      <w:sz w:val="22"/>
    </w:rPr>
  </w:style>
  <w:style w:type="paragraph" w:customStyle="1" w:styleId="Bullet1">
    <w:name w:val="Bullet 1"/>
    <w:basedOn w:val="Normal"/>
    <w:qFormat/>
    <w:rsid w:val="009C6CF1"/>
    <w:pPr>
      <w:numPr>
        <w:numId w:val="38"/>
      </w:numPr>
    </w:pPr>
  </w:style>
  <w:style w:type="paragraph" w:customStyle="1" w:styleId="Bullet2">
    <w:name w:val="Bullet 2"/>
    <w:basedOn w:val="Normal"/>
    <w:qFormat/>
    <w:rsid w:val="009C6CF1"/>
    <w:pPr>
      <w:numPr>
        <w:numId w:val="39"/>
      </w:numPr>
      <w:spacing w:line="240" w:lineRule="auto"/>
    </w:pPr>
  </w:style>
  <w:style w:type="paragraph" w:customStyle="1" w:styleId="Chartfiguretableheading">
    <w:name w:val="Chart/figure/table heading"/>
    <w:basedOn w:val="Normal"/>
    <w:next w:val="Normal"/>
    <w:rsid w:val="009C6CF1"/>
    <w:pPr>
      <w:keepNext/>
      <w:spacing w:after="120"/>
      <w:outlineLvl w:val="2"/>
    </w:pPr>
    <w:rPr>
      <w:b/>
      <w:sz w:val="28"/>
    </w:rPr>
  </w:style>
  <w:style w:type="paragraph" w:customStyle="1" w:styleId="Chartfiguretablesource">
    <w:name w:val="Chart/figure/table source"/>
    <w:basedOn w:val="Normal"/>
    <w:next w:val="Normal"/>
    <w:rsid w:val="009C6CF1"/>
    <w:pPr>
      <w:spacing w:before="120"/>
    </w:pPr>
    <w:rPr>
      <w:sz w:val="20"/>
      <w:szCs w:val="22"/>
    </w:rPr>
  </w:style>
  <w:style w:type="character" w:styleId="FootnoteReference">
    <w:name w:val="footnote reference"/>
    <w:basedOn w:val="DefaultParagraphFont"/>
    <w:semiHidden/>
    <w:rsid w:val="009C6CF1"/>
    <w:rPr>
      <w:vertAlign w:val="superscript"/>
    </w:rPr>
  </w:style>
  <w:style w:type="paragraph" w:styleId="FootnoteText">
    <w:name w:val="footnote text"/>
    <w:basedOn w:val="Normal"/>
    <w:rsid w:val="009C6CF1"/>
    <w:rPr>
      <w:sz w:val="20"/>
      <w:szCs w:val="20"/>
    </w:rPr>
  </w:style>
  <w:style w:type="character" w:styleId="Hyperlink">
    <w:name w:val="Hyperlink"/>
    <w:basedOn w:val="DefaultParagraphFont"/>
    <w:rsid w:val="009C6CF1"/>
    <w:rPr>
      <w:color w:val="0000FF"/>
      <w:u w:val="single"/>
    </w:rPr>
  </w:style>
  <w:style w:type="paragraph" w:styleId="Quote">
    <w:name w:val="Quote"/>
    <w:basedOn w:val="Chaptertext"/>
    <w:rsid w:val="009C6CF1"/>
    <w:pPr>
      <w:numPr>
        <w:ilvl w:val="0"/>
        <w:numId w:val="0"/>
      </w:numPr>
      <w:ind w:left="1276"/>
    </w:pPr>
  </w:style>
  <w:style w:type="paragraph" w:customStyle="1" w:styleId="Subheading1">
    <w:name w:val="Subheading 1"/>
    <w:basedOn w:val="Normal"/>
    <w:next w:val="Chaptertext"/>
    <w:qFormat/>
    <w:rsid w:val="009C6CF1"/>
    <w:pPr>
      <w:keepNext/>
      <w:outlineLvl w:val="2"/>
    </w:pPr>
    <w:rPr>
      <w:b/>
      <w:sz w:val="28"/>
    </w:rPr>
  </w:style>
  <w:style w:type="paragraph" w:customStyle="1" w:styleId="Subheading2">
    <w:name w:val="Subheading 2"/>
    <w:basedOn w:val="Subheading1"/>
    <w:next w:val="Normal"/>
    <w:qFormat/>
    <w:rsid w:val="009C6CF1"/>
    <w:pPr>
      <w:ind w:left="850"/>
      <w:outlineLvl w:val="3"/>
    </w:pPr>
    <w:rPr>
      <w:szCs w:val="28"/>
    </w:rPr>
  </w:style>
  <w:style w:type="paragraph" w:customStyle="1" w:styleId="Subheading3">
    <w:name w:val="Subheading 3"/>
    <w:basedOn w:val="Subheading2"/>
    <w:next w:val="Normal"/>
    <w:rsid w:val="009C6CF1"/>
    <w:pPr>
      <w:outlineLvl w:val="4"/>
    </w:pPr>
    <w:rPr>
      <w:b w:val="0"/>
    </w:rPr>
  </w:style>
  <w:style w:type="paragraph" w:customStyle="1" w:styleId="Subheading4">
    <w:name w:val="Subheading 4"/>
    <w:basedOn w:val="Subheading3"/>
    <w:next w:val="Normal"/>
    <w:rsid w:val="009C6CF1"/>
    <w:pPr>
      <w:outlineLvl w:val="6"/>
    </w:pPr>
    <w:rPr>
      <w:i/>
    </w:rPr>
  </w:style>
  <w:style w:type="paragraph" w:customStyle="1" w:styleId="Titleheading">
    <w:name w:val="Title heading"/>
    <w:basedOn w:val="Normal"/>
    <w:next w:val="Normal"/>
    <w:rsid w:val="009C6CF1"/>
    <w:rPr>
      <w:b/>
      <w:sz w:val="62"/>
    </w:rPr>
  </w:style>
  <w:style w:type="paragraph" w:customStyle="1" w:styleId="Titlesubheading">
    <w:name w:val="Title subheading"/>
    <w:basedOn w:val="Titleheading"/>
    <w:rsid w:val="009C6CF1"/>
    <w:rPr>
      <w:sz w:val="36"/>
      <w:szCs w:val="36"/>
    </w:rPr>
  </w:style>
  <w:style w:type="paragraph" w:styleId="NormalWeb">
    <w:name w:val="Normal (Web)"/>
    <w:basedOn w:val="Normal"/>
    <w:rsid w:val="008456CC"/>
    <w:pPr>
      <w:spacing w:before="100" w:beforeAutospacing="1" w:after="100" w:afterAutospacing="1" w:line="240" w:lineRule="auto"/>
    </w:pPr>
    <w:rPr>
      <w:rFonts w:ascii="Arial Unicode MS" w:eastAsia="Arial Unicode MS" w:hAnsi="Arial Unicode MS" w:cs="Arial Unicode MS"/>
    </w:rPr>
  </w:style>
  <w:style w:type="paragraph" w:customStyle="1" w:styleId="Default">
    <w:name w:val="Default"/>
    <w:rsid w:val="005F2B9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A10775"/>
    <w:pPr>
      <w:ind w:left="720"/>
      <w:contextualSpacing/>
    </w:pPr>
  </w:style>
  <w:style w:type="paragraph" w:styleId="BalloonText">
    <w:name w:val="Balloon Text"/>
    <w:basedOn w:val="Normal"/>
    <w:link w:val="BalloonTextChar"/>
    <w:rsid w:val="00E1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198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C6CF1"/>
    <w:pPr>
      <w:spacing w:after="280" w:line="288" w:lineRule="auto"/>
    </w:pPr>
    <w:rPr>
      <w:rFonts w:ascii="Univers" w:hAnsi="Univers"/>
      <w:sz w:val="24"/>
      <w:szCs w:val="24"/>
      <w:lang w:eastAsia="en-US"/>
    </w:rPr>
  </w:style>
  <w:style w:type="paragraph" w:styleId="Heading1">
    <w:name w:val="heading 1"/>
    <w:basedOn w:val="Normal"/>
    <w:next w:val="Normal"/>
    <w:qFormat/>
    <w:rsid w:val="009C6CF1"/>
    <w:pPr>
      <w:keepNext/>
      <w:outlineLvl w:val="0"/>
    </w:pPr>
    <w:rPr>
      <w:rFonts w:cs="Arial"/>
      <w:b/>
      <w:bCs/>
      <w:caps/>
      <w:sz w:val="28"/>
      <w:szCs w:val="32"/>
    </w:rPr>
  </w:style>
  <w:style w:type="paragraph" w:styleId="Heading2">
    <w:name w:val="heading 2"/>
    <w:basedOn w:val="Heading1"/>
    <w:next w:val="Normal"/>
    <w:qFormat/>
    <w:rsid w:val="009C6CF1"/>
    <w:pPr>
      <w:outlineLvl w:val="1"/>
    </w:pPr>
    <w:rPr>
      <w:b w:val="0"/>
      <w:bCs w:val="0"/>
      <w:iCs/>
      <w:caps w:val="0"/>
      <w:szCs w:val="28"/>
      <w:u w:val="single"/>
    </w:rPr>
  </w:style>
  <w:style w:type="paragraph" w:styleId="Heading3">
    <w:name w:val="heading 3"/>
    <w:basedOn w:val="Heading2"/>
    <w:next w:val="Normal"/>
    <w:qFormat/>
    <w:rsid w:val="009C6CF1"/>
    <w:pPr>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6CF1"/>
    <w:pPr>
      <w:tabs>
        <w:tab w:val="center" w:pos="4320"/>
        <w:tab w:val="right" w:pos="8640"/>
      </w:tabs>
    </w:pPr>
  </w:style>
  <w:style w:type="paragraph" w:styleId="Footer">
    <w:name w:val="footer"/>
    <w:basedOn w:val="Normal"/>
    <w:rsid w:val="009C6CF1"/>
    <w:pPr>
      <w:tabs>
        <w:tab w:val="center" w:pos="4320"/>
        <w:tab w:val="right" w:pos="8640"/>
      </w:tabs>
    </w:pPr>
  </w:style>
  <w:style w:type="paragraph" w:customStyle="1" w:styleId="TableUnivers">
    <w:name w:val="Table Univers"/>
    <w:basedOn w:val="Normal"/>
    <w:rsid w:val="009C6CF1"/>
    <w:rPr>
      <w:szCs w:val="22"/>
    </w:rPr>
  </w:style>
  <w:style w:type="table" w:styleId="TableGrid">
    <w:name w:val="Table Grid"/>
    <w:basedOn w:val="TableNormal"/>
    <w:rsid w:val="009C6C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FTClosing">
    <w:name w:val="OFT Closing"/>
    <w:basedOn w:val="Signature"/>
    <w:rsid w:val="009C6CF1"/>
    <w:pPr>
      <w:ind w:left="0"/>
    </w:pPr>
    <w:rPr>
      <w:sz w:val="20"/>
      <w:szCs w:val="20"/>
    </w:rPr>
  </w:style>
  <w:style w:type="paragraph" w:styleId="Signature">
    <w:name w:val="Signature"/>
    <w:basedOn w:val="Normal"/>
    <w:rsid w:val="009C6CF1"/>
    <w:pPr>
      <w:ind w:left="4252"/>
    </w:pPr>
  </w:style>
  <w:style w:type="paragraph" w:customStyle="1" w:styleId="ChapterHeading">
    <w:name w:val="Chapter Heading"/>
    <w:basedOn w:val="Normal"/>
    <w:next w:val="Normal"/>
    <w:rsid w:val="009C6CF1"/>
    <w:pPr>
      <w:keepNext/>
      <w:pageBreakBefore/>
      <w:numPr>
        <w:ilvl w:val="1"/>
        <w:numId w:val="35"/>
      </w:numPr>
      <w:outlineLvl w:val="1"/>
    </w:pPr>
    <w:rPr>
      <w:rFonts w:cs="Arial"/>
      <w:b/>
      <w:caps/>
      <w:kern w:val="32"/>
      <w:sz w:val="28"/>
      <w:szCs w:val="28"/>
    </w:rPr>
  </w:style>
  <w:style w:type="paragraph" w:customStyle="1" w:styleId="AnnexeHeading">
    <w:name w:val="Annexe Heading"/>
    <w:basedOn w:val="ChapterHeading"/>
    <w:next w:val="Normal"/>
    <w:rsid w:val="009C6CF1"/>
    <w:pPr>
      <w:numPr>
        <w:numId w:val="36"/>
      </w:numPr>
    </w:pPr>
  </w:style>
  <w:style w:type="paragraph" w:customStyle="1" w:styleId="Chaptertext">
    <w:name w:val="Chapter text"/>
    <w:basedOn w:val="Normal"/>
    <w:rsid w:val="009C6CF1"/>
    <w:pPr>
      <w:numPr>
        <w:ilvl w:val="2"/>
        <w:numId w:val="35"/>
      </w:numPr>
      <w:outlineLvl w:val="2"/>
    </w:pPr>
  </w:style>
  <w:style w:type="paragraph" w:customStyle="1" w:styleId="Annexetext">
    <w:name w:val="Annexe text"/>
    <w:basedOn w:val="Chaptertext"/>
    <w:rsid w:val="009C6CF1"/>
    <w:pPr>
      <w:numPr>
        <w:numId w:val="36"/>
      </w:numPr>
    </w:pPr>
  </w:style>
  <w:style w:type="paragraph" w:customStyle="1" w:styleId="Annexes">
    <w:name w:val="Annexe(s)"/>
    <w:basedOn w:val="Normal"/>
    <w:next w:val="AnnexeHeading"/>
    <w:rsid w:val="009C6CF1"/>
    <w:pPr>
      <w:pageBreakBefore/>
      <w:numPr>
        <w:numId w:val="37"/>
      </w:numPr>
      <w:pBdr>
        <w:bottom w:val="single" w:sz="4" w:space="14" w:color="auto"/>
      </w:pBdr>
      <w:outlineLvl w:val="0"/>
    </w:pPr>
    <w:rPr>
      <w:rFonts w:cs="Arial"/>
      <w:b/>
      <w:bCs/>
      <w:caps/>
      <w:kern w:val="32"/>
      <w:sz w:val="96"/>
      <w:szCs w:val="96"/>
    </w:rPr>
  </w:style>
  <w:style w:type="paragraph" w:styleId="BodyText">
    <w:name w:val="Body Text"/>
    <w:basedOn w:val="Normal"/>
    <w:rsid w:val="009C6CF1"/>
    <w:rPr>
      <w:b/>
      <w:sz w:val="22"/>
    </w:rPr>
  </w:style>
  <w:style w:type="paragraph" w:customStyle="1" w:styleId="Bullet1">
    <w:name w:val="Bullet 1"/>
    <w:basedOn w:val="Normal"/>
    <w:qFormat/>
    <w:rsid w:val="009C6CF1"/>
    <w:pPr>
      <w:numPr>
        <w:numId w:val="38"/>
      </w:numPr>
    </w:pPr>
  </w:style>
  <w:style w:type="paragraph" w:customStyle="1" w:styleId="Bullet2">
    <w:name w:val="Bullet 2"/>
    <w:basedOn w:val="Normal"/>
    <w:qFormat/>
    <w:rsid w:val="009C6CF1"/>
    <w:pPr>
      <w:numPr>
        <w:numId w:val="39"/>
      </w:numPr>
      <w:spacing w:line="240" w:lineRule="auto"/>
    </w:pPr>
  </w:style>
  <w:style w:type="paragraph" w:customStyle="1" w:styleId="Chartfiguretableheading">
    <w:name w:val="Chart/figure/table heading"/>
    <w:basedOn w:val="Normal"/>
    <w:next w:val="Normal"/>
    <w:rsid w:val="009C6CF1"/>
    <w:pPr>
      <w:keepNext/>
      <w:spacing w:after="120"/>
      <w:outlineLvl w:val="2"/>
    </w:pPr>
    <w:rPr>
      <w:b/>
      <w:sz w:val="28"/>
    </w:rPr>
  </w:style>
  <w:style w:type="paragraph" w:customStyle="1" w:styleId="Chartfiguretablesource">
    <w:name w:val="Chart/figure/table source"/>
    <w:basedOn w:val="Normal"/>
    <w:next w:val="Normal"/>
    <w:rsid w:val="009C6CF1"/>
    <w:pPr>
      <w:spacing w:before="120"/>
    </w:pPr>
    <w:rPr>
      <w:sz w:val="20"/>
      <w:szCs w:val="22"/>
    </w:rPr>
  </w:style>
  <w:style w:type="character" w:styleId="FootnoteReference">
    <w:name w:val="footnote reference"/>
    <w:basedOn w:val="DefaultParagraphFont"/>
    <w:semiHidden/>
    <w:rsid w:val="009C6CF1"/>
    <w:rPr>
      <w:vertAlign w:val="superscript"/>
    </w:rPr>
  </w:style>
  <w:style w:type="paragraph" w:styleId="FootnoteText">
    <w:name w:val="footnote text"/>
    <w:basedOn w:val="Normal"/>
    <w:rsid w:val="009C6CF1"/>
    <w:rPr>
      <w:sz w:val="20"/>
      <w:szCs w:val="20"/>
    </w:rPr>
  </w:style>
  <w:style w:type="character" w:styleId="Hyperlink">
    <w:name w:val="Hyperlink"/>
    <w:basedOn w:val="DefaultParagraphFont"/>
    <w:rsid w:val="009C6CF1"/>
    <w:rPr>
      <w:color w:val="0000FF"/>
      <w:u w:val="single"/>
    </w:rPr>
  </w:style>
  <w:style w:type="paragraph" w:styleId="Quote">
    <w:name w:val="Quote"/>
    <w:basedOn w:val="Chaptertext"/>
    <w:rsid w:val="009C6CF1"/>
    <w:pPr>
      <w:numPr>
        <w:ilvl w:val="0"/>
        <w:numId w:val="0"/>
      </w:numPr>
      <w:ind w:left="1276"/>
    </w:pPr>
  </w:style>
  <w:style w:type="paragraph" w:customStyle="1" w:styleId="Subheading1">
    <w:name w:val="Subheading 1"/>
    <w:basedOn w:val="Normal"/>
    <w:next w:val="Chaptertext"/>
    <w:qFormat/>
    <w:rsid w:val="009C6CF1"/>
    <w:pPr>
      <w:keepNext/>
      <w:outlineLvl w:val="2"/>
    </w:pPr>
    <w:rPr>
      <w:b/>
      <w:sz w:val="28"/>
    </w:rPr>
  </w:style>
  <w:style w:type="paragraph" w:customStyle="1" w:styleId="Subheading2">
    <w:name w:val="Subheading 2"/>
    <w:basedOn w:val="Subheading1"/>
    <w:next w:val="Normal"/>
    <w:qFormat/>
    <w:rsid w:val="009C6CF1"/>
    <w:pPr>
      <w:ind w:left="850"/>
      <w:outlineLvl w:val="3"/>
    </w:pPr>
    <w:rPr>
      <w:szCs w:val="28"/>
    </w:rPr>
  </w:style>
  <w:style w:type="paragraph" w:customStyle="1" w:styleId="Subheading3">
    <w:name w:val="Subheading 3"/>
    <w:basedOn w:val="Subheading2"/>
    <w:next w:val="Normal"/>
    <w:rsid w:val="009C6CF1"/>
    <w:pPr>
      <w:outlineLvl w:val="4"/>
    </w:pPr>
    <w:rPr>
      <w:b w:val="0"/>
    </w:rPr>
  </w:style>
  <w:style w:type="paragraph" w:customStyle="1" w:styleId="Subheading4">
    <w:name w:val="Subheading 4"/>
    <w:basedOn w:val="Subheading3"/>
    <w:next w:val="Normal"/>
    <w:rsid w:val="009C6CF1"/>
    <w:pPr>
      <w:outlineLvl w:val="6"/>
    </w:pPr>
    <w:rPr>
      <w:i/>
    </w:rPr>
  </w:style>
  <w:style w:type="paragraph" w:customStyle="1" w:styleId="Titleheading">
    <w:name w:val="Title heading"/>
    <w:basedOn w:val="Normal"/>
    <w:next w:val="Normal"/>
    <w:rsid w:val="009C6CF1"/>
    <w:rPr>
      <w:b/>
      <w:sz w:val="62"/>
    </w:rPr>
  </w:style>
  <w:style w:type="paragraph" w:customStyle="1" w:styleId="Titlesubheading">
    <w:name w:val="Title subheading"/>
    <w:basedOn w:val="Titleheading"/>
    <w:rsid w:val="009C6CF1"/>
    <w:rPr>
      <w:sz w:val="36"/>
      <w:szCs w:val="36"/>
    </w:rPr>
  </w:style>
  <w:style w:type="paragraph" w:styleId="NormalWeb">
    <w:name w:val="Normal (Web)"/>
    <w:basedOn w:val="Normal"/>
    <w:rsid w:val="008456CC"/>
    <w:pPr>
      <w:spacing w:before="100" w:beforeAutospacing="1" w:after="100" w:afterAutospacing="1" w:line="240" w:lineRule="auto"/>
    </w:pPr>
    <w:rPr>
      <w:rFonts w:ascii="Arial Unicode MS" w:eastAsia="Arial Unicode MS" w:hAnsi="Arial Unicode MS" w:cs="Arial Unicode MS"/>
    </w:rPr>
  </w:style>
  <w:style w:type="paragraph" w:customStyle="1" w:styleId="Default">
    <w:name w:val="Default"/>
    <w:rsid w:val="005F2B9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rsid w:val="00A10775"/>
    <w:pPr>
      <w:ind w:left="720"/>
      <w:contextualSpacing/>
    </w:pPr>
  </w:style>
  <w:style w:type="paragraph" w:styleId="BalloonText">
    <w:name w:val="Balloon Text"/>
    <w:basedOn w:val="Normal"/>
    <w:link w:val="BalloonTextChar"/>
    <w:rsid w:val="00E11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1198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5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Fair Trading</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NLobel-Lastmann</dc:creator>
  <cp:lastModifiedBy>admin</cp:lastModifiedBy>
  <cp:revision>2</cp:revision>
  <dcterms:created xsi:type="dcterms:W3CDTF">2012-07-15T12:05:00Z</dcterms:created>
  <dcterms:modified xsi:type="dcterms:W3CDTF">2012-07-15T12:05:00Z</dcterms:modified>
</cp:coreProperties>
</file>